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4C" w:rsidRDefault="00E6344C" w:rsidP="001D1D64">
      <w:pPr>
        <w:pStyle w:val="aa"/>
        <w:jc w:val="center"/>
        <w:rPr>
          <w:rStyle w:val="a7"/>
          <w:rFonts w:ascii="Times New Roman" w:hAnsi="Times New Roman" w:hint="eastAsia"/>
          <w:sz w:val="32"/>
          <w:szCs w:val="32"/>
        </w:rPr>
      </w:pPr>
      <w:r>
        <w:rPr>
          <w:rStyle w:val="a7"/>
          <w:rFonts w:ascii="Times New Roman" w:hAnsi="Times New Roman" w:hint="eastAsia"/>
          <w:sz w:val="32"/>
          <w:szCs w:val="32"/>
        </w:rPr>
        <w:t xml:space="preserve">Отчет </w:t>
      </w:r>
    </w:p>
    <w:p w:rsidR="00E31A4B" w:rsidRPr="001D1D64" w:rsidRDefault="00945AD2" w:rsidP="001D1D64">
      <w:pPr>
        <w:pStyle w:val="aa"/>
        <w:jc w:val="center"/>
        <w:rPr>
          <w:rFonts w:ascii="Times New Roman" w:hAnsi="Times New Roman" w:hint="default"/>
          <w:b/>
          <w:color w:val="26282F"/>
          <w:sz w:val="32"/>
          <w:szCs w:val="32"/>
        </w:rPr>
      </w:pPr>
      <w:r>
        <w:rPr>
          <w:rStyle w:val="a7"/>
          <w:rFonts w:ascii="Times New Roman" w:hAnsi="Times New Roman" w:hint="eastAsia"/>
          <w:sz w:val="32"/>
          <w:szCs w:val="32"/>
        </w:rPr>
        <w:t>о</w:t>
      </w:r>
      <w:r w:rsidR="001D1D64" w:rsidRPr="001D1D64">
        <w:rPr>
          <w:rStyle w:val="a7"/>
          <w:rFonts w:ascii="Times New Roman" w:hAnsi="Times New Roman" w:hint="eastAsia"/>
          <w:sz w:val="32"/>
          <w:szCs w:val="32"/>
        </w:rPr>
        <w:t xml:space="preserve"> результатах расчета и рейтинговых оценках </w:t>
      </w:r>
      <w:r w:rsidR="00E31A4B" w:rsidRPr="00092B37">
        <w:rPr>
          <w:rFonts w:ascii="Times New Roman" w:hAnsi="Times New Roman" w:hint="default"/>
        </w:rPr>
        <w:br/>
      </w:r>
      <w:proofErr w:type="gramStart"/>
      <w:r w:rsidR="00E31A4B" w:rsidRPr="001D1D64">
        <w:rPr>
          <w:rFonts w:ascii="Times New Roman" w:hAnsi="Times New Roman" w:hint="default"/>
          <w:b/>
          <w:sz w:val="32"/>
          <w:szCs w:val="32"/>
        </w:rPr>
        <w:t>показателей качества финансового менеджмента</w:t>
      </w:r>
      <w:r w:rsidR="00C83A1F" w:rsidRPr="001D1D64">
        <w:rPr>
          <w:rFonts w:ascii="Times New Roman" w:hAnsi="Times New Roman" w:hint="default"/>
          <w:b/>
          <w:sz w:val="32"/>
          <w:szCs w:val="32"/>
        </w:rPr>
        <w:t xml:space="preserve"> главных распорядителей средств бюджета</w:t>
      </w:r>
      <w:proofErr w:type="gramEnd"/>
      <w:r w:rsidR="00C83A1F">
        <w:rPr>
          <w:rFonts w:ascii="Times New Roman" w:hAnsi="Times New Roman" w:hint="default"/>
        </w:rPr>
        <w:t xml:space="preserve"> </w:t>
      </w:r>
    </w:p>
    <w:p w:rsidR="00C83A1F" w:rsidRPr="00C83A1F" w:rsidRDefault="00C83A1F" w:rsidP="00C83A1F">
      <w:pPr>
        <w:pStyle w:val="1"/>
        <w:spacing w:before="0" w:after="0"/>
        <w:rPr>
          <w:rFonts w:hint="default"/>
          <w:szCs w:val="32"/>
        </w:rPr>
      </w:pPr>
      <w:r w:rsidRPr="00C83A1F">
        <w:rPr>
          <w:rFonts w:ascii="Times New Roman" w:hAnsi="Times New Roman" w:hint="default"/>
          <w:szCs w:val="32"/>
        </w:rPr>
        <w:t>Никольского городского поселения Подпорожского муниципального района Ленинградской области</w:t>
      </w:r>
      <w:r w:rsidR="00E5720E">
        <w:rPr>
          <w:rFonts w:ascii="Times New Roman" w:hAnsi="Times New Roman" w:hint="default"/>
          <w:szCs w:val="32"/>
        </w:rPr>
        <w:t xml:space="preserve"> за 2023</w:t>
      </w:r>
      <w:r w:rsidR="00690EF0">
        <w:rPr>
          <w:rFonts w:ascii="Times New Roman" w:hAnsi="Times New Roman" w:hint="default"/>
          <w:szCs w:val="32"/>
        </w:rPr>
        <w:t xml:space="preserve"> год</w:t>
      </w:r>
    </w:p>
    <w:p w:rsidR="00E31A4B" w:rsidRPr="00C83A1F" w:rsidRDefault="00E31A4B" w:rsidP="00E31A4B">
      <w:pPr>
        <w:jc w:val="left"/>
        <w:rPr>
          <w:rFonts w:eastAsia="Times New Roman CYR"/>
          <w:b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734"/>
        <w:gridCol w:w="2325"/>
        <w:gridCol w:w="1785"/>
        <w:gridCol w:w="1564"/>
        <w:gridCol w:w="3827"/>
      </w:tblGrid>
      <w:tr w:rsidR="00655CCF" w:rsidTr="00655CCF">
        <w:tc>
          <w:tcPr>
            <w:tcW w:w="657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N</w:t>
            </w:r>
          </w:p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/п</w:t>
            </w:r>
          </w:p>
        </w:tc>
        <w:tc>
          <w:tcPr>
            <w:tcW w:w="373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Наименование показателя (Р), описание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Расчет (значение) показателя </w:t>
            </w:r>
          </w:p>
        </w:tc>
        <w:tc>
          <w:tcPr>
            <w:tcW w:w="1785" w:type="dxa"/>
          </w:tcPr>
          <w:p w:rsidR="00655CCF" w:rsidRDefault="00655CCF" w:rsidP="00C664A3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64" w:type="dxa"/>
          </w:tcPr>
          <w:p w:rsidR="00655CCF" w:rsidRDefault="00655CCF" w:rsidP="006B79C1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 Максимальная</w:t>
            </w:r>
            <w:r w:rsidR="006B79C1">
              <w:rPr>
                <w:rFonts w:ascii="Times New Roman" w:hAnsi="Times New Roman" w:hint="default"/>
                <w:sz w:val="22"/>
                <w:szCs w:val="22"/>
              </w:rPr>
              <w:t xml:space="preserve"> суммарная </w:t>
            </w:r>
            <w:r>
              <w:rPr>
                <w:rFonts w:ascii="Times New Roman" w:hAnsi="Times New Roman" w:hint="default"/>
                <w:sz w:val="22"/>
                <w:szCs w:val="22"/>
              </w:rPr>
              <w:t xml:space="preserve"> оценка по направлению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Результат оценки качества</w:t>
            </w:r>
          </w:p>
        </w:tc>
      </w:tr>
      <w:tr w:rsidR="00655CCF" w:rsidTr="00655CCF">
        <w:tc>
          <w:tcPr>
            <w:tcW w:w="657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73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178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6</w:t>
            </w:r>
          </w:p>
        </w:tc>
      </w:tr>
      <w:tr w:rsidR="0064577F" w:rsidTr="000978DA">
        <w:tc>
          <w:tcPr>
            <w:tcW w:w="13892" w:type="dxa"/>
            <w:gridSpan w:val="6"/>
          </w:tcPr>
          <w:p w:rsidR="0064577F" w:rsidRPr="0064577F" w:rsidRDefault="0064577F" w:rsidP="0064577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hint="default"/>
                <w:b/>
                <w:sz w:val="22"/>
                <w:szCs w:val="22"/>
              </w:rPr>
            </w:pPr>
            <w:r w:rsidRPr="0064577F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Качество планирования и обоснования бюджетных ассигнований </w:t>
            </w:r>
            <w:r w:rsidR="00711965">
              <w:rPr>
                <w:rFonts w:ascii="Times New Roman" w:hAnsi="Times New Roman" w:hint="default"/>
                <w:b/>
                <w:sz w:val="22"/>
                <w:szCs w:val="22"/>
              </w:rPr>
              <w:t>–</w:t>
            </w:r>
            <w:r w:rsidRPr="0064577F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 15</w:t>
            </w:r>
            <w:r w:rsidR="00711965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Оценка качества планирования бюджетных ассигнований</w:t>
            </w:r>
          </w:p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=(</w:t>
            </w: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Рк-Рн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>)/</w:t>
            </w: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Рн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>*100%, где:</w:t>
            </w:r>
          </w:p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Рк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 xml:space="preserve"> - объем бюджетных ассигнований на конец отчетного периода в соответствии со сводной бюджетной росписью, </w:t>
            </w:r>
          </w:p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Рн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 xml:space="preserve"> - объем бюджетных ассигнований на начало отчетного периода в соответствии с решением о местном бюджете 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менее 5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</w:tcPr>
          <w:p w:rsidR="00655CCF" w:rsidRDefault="00655CCF" w:rsidP="00B636DB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Большой</w:t>
            </w:r>
            <w:proofErr w:type="gram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 </w:t>
            </w:r>
            <w:r w:rsidR="00B636DB"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 свидетельствует о низком качестве бюджетного планирования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5 до 10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A2160B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A2160B">
              <w:rPr>
                <w:rFonts w:ascii="Times New Roman" w:hAnsi="Times New Roman" w:hint="default"/>
                <w:sz w:val="22"/>
                <w:szCs w:val="22"/>
              </w:rPr>
              <w:t>2</w:t>
            </w:r>
            <w:r w:rsidR="0045647E" w:rsidRPr="00A2160B">
              <w:rPr>
                <w:rFonts w:ascii="Times New Roman" w:hAnsi="Times New Roman" w:hint="defaul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Свыше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A2160B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A2160B">
              <w:rPr>
                <w:rFonts w:ascii="Times New Roman" w:hAnsi="Times New Roman" w:hint="default"/>
                <w:b/>
                <w:sz w:val="22"/>
                <w:szCs w:val="22"/>
              </w:rPr>
              <w:t>1</w:t>
            </w:r>
            <w:r w:rsidR="003F3B20" w:rsidRPr="00A2160B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 </w:t>
            </w:r>
            <w:r w:rsidR="00A2160B" w:rsidRPr="00A2160B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>V</w:t>
            </w:r>
            <w:r w:rsidR="003F3B20" w:rsidRPr="00A2160B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53"/>
        </w:trPr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требований </w:t>
            </w:r>
            <w:r>
              <w:rPr>
                <w:rFonts w:ascii="Times New Roman" w:hAnsi="Times New Roman"/>
              </w:rPr>
              <w:br/>
              <w:t>к формированию и представлению информации и документов, необходимых для составления и (или) изменения проекта бюджета.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 указанным нарушениям относятся: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1.нарушение сроков представления документов,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представление документов по форме, отличающейся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установленной;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представление неполной информации;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предоставление информации </w:t>
            </w:r>
            <w:r>
              <w:rPr>
                <w:rFonts w:ascii="Times New Roman" w:hAnsi="Times New Roman"/>
              </w:rPr>
              <w:br/>
              <w:t>с ошибками в расчетах;</w:t>
            </w:r>
          </w:p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5. предоставление недостоверной информации. 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655CCF" w:rsidTr="00655CCF">
        <w:trPr>
          <w:trHeight w:val="53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Наличие фактов по п.1 (до 2 рабочих дней) или 2.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53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Наличие фактов по пп.1 (от 3 дней и выше) и 2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53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 xml:space="preserve">Наличие фактов по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1, 2 и (или) 3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53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 xml:space="preserve">Наличие фактов по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4 и (или) 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Р3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Несоблюдение правил планирования закупок ГАБС и (или) подведомственными ему муниципальными учреждениями.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Несоблюдением правил планирования закупок является: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включение в план закупок необоснованных объектов закупок, начальных (максимальных) цен контрактов;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</w:t>
            </w:r>
            <w:r>
              <w:rPr>
                <w:rFonts w:ascii="Times New Roman" w:hAnsi="Times New Roman"/>
              </w:rPr>
              <w:lastRenderedPageBreak/>
              <w:t xml:space="preserve">закупки);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нарушение порядка (сроков) проведения или </w:t>
            </w:r>
            <w:proofErr w:type="spellStart"/>
            <w:r>
              <w:rPr>
                <w:rFonts w:ascii="Times New Roman" w:hAnsi="Times New Roman"/>
              </w:rPr>
              <w:t>непроведение</w:t>
            </w:r>
            <w:proofErr w:type="spellEnd"/>
            <w:r>
              <w:rPr>
                <w:rFonts w:ascii="Times New Roman" w:hAnsi="Times New Roman"/>
              </w:rPr>
              <w:t xml:space="preserve"> обязательного общественного обсуждения закупок;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4.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655CCF" w:rsidTr="00655CCF">
        <w:trPr>
          <w:trHeight w:val="411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фактов нарушений и недостатков по результатам ведомственного контроля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411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предписаний контрольных органов в сфере закупок, не предполагающих назначение административного наказания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411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не исполненных на конец отчетного периода предписаний контрольных органов </w:t>
            </w:r>
            <w:r>
              <w:rPr>
                <w:rFonts w:ascii="Times New Roman" w:hAnsi="Times New Roman"/>
                <w:color w:val="000000"/>
              </w:rPr>
              <w:lastRenderedPageBreak/>
              <w:t>в сфере закупок, не предполагающих назначение административного наказания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411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постановлений о назначении административного наказания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711965" w:rsidTr="00A2160B">
        <w:tc>
          <w:tcPr>
            <w:tcW w:w="13892" w:type="dxa"/>
            <w:gridSpan w:val="6"/>
          </w:tcPr>
          <w:p w:rsidR="00711965" w:rsidRPr="00711965" w:rsidRDefault="00711965" w:rsidP="0071196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</w:pPr>
            <w:r w:rsidRPr="00711965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Качество исполнения бюджета – 20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Уровень исполнения прогноза кассовых выплат за отчетный период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Р4=</w:t>
            </w: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/КП*100%, где: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 xml:space="preserve"> - кассовый расход за отчетный период,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 - прогноз кассовых выплат на отчетный период, уточненный на дату проведения мониторинга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более 95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FF18E2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A2160B"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  <w:r w:rsidR="00FF18E2">
              <w:rPr>
                <w:rFonts w:ascii="Times New Roman" w:eastAsia="Times New Roman CYR" w:hAnsi="Times New Roman" w:hint="defaul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отсутствие неисполненных показателей прогноза кассовых выплат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A2160B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A2160B">
              <w:rPr>
                <w:rFonts w:ascii="Times New Roman" w:hAnsi="Times New Roman" w:hint="default"/>
                <w:b/>
                <w:sz w:val="22"/>
                <w:szCs w:val="22"/>
              </w:rPr>
              <w:t>4</w:t>
            </w:r>
            <w:r w:rsidR="00A2160B" w:rsidRPr="00A2160B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80 до 90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70 до 90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менее 70 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Р5*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 использования  доведенных лимитов бюджетных обязательств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Р5=Кр/ЛБО*100%, где: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ЛБО - доведенные ГАБС лимиты бюджетных обязательств на конец отчетного периода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8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более 95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8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FF18E2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A2160B"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  <w:r w:rsidR="00FF18E2">
              <w:rPr>
                <w:rFonts w:ascii="Times New Roman" w:eastAsia="Times New Roman CYR" w:hAnsi="Times New Roman" w:hint="defaul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отсутствие неисполненных остатков ЛБО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A2160B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A2160B">
              <w:rPr>
                <w:rFonts w:ascii="Times New Roman" w:hAnsi="Times New Roman" w:hint="default"/>
                <w:b/>
                <w:sz w:val="22"/>
                <w:szCs w:val="22"/>
              </w:rPr>
              <w:t>4</w:t>
            </w:r>
            <w:r w:rsidR="00A2160B" w:rsidRPr="00A2160B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80 до 90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70 до 90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менее 70 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lastRenderedPageBreak/>
              <w:t>Р</w:t>
            </w: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6</w:t>
            </w:r>
            <w:proofErr w:type="gram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неисполненных на конец отчетного периода плановых назначений по доходам </w:t>
            </w:r>
            <w:r>
              <w:rPr>
                <w:rFonts w:ascii="Times New Roman" w:hAnsi="Times New Roman"/>
              </w:rPr>
              <w:br/>
              <w:t xml:space="preserve">(за исключением средств межбюджетных трансфертов из бюджетов других уровней бюджетной системы Российской Федерации) если ГАБС наделен полномочиями главного администратора доходов бюджета муниципального образования. </w:t>
            </w:r>
            <w:proofErr w:type="gramEnd"/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>=(</w:t>
            </w:r>
            <w:proofErr w:type="spellStart"/>
            <w:r>
              <w:rPr>
                <w:rFonts w:ascii="Times New Roman" w:hAnsi="Times New Roman"/>
              </w:rPr>
              <w:t>Дп-Дф</w:t>
            </w:r>
            <w:proofErr w:type="spellEnd"/>
            <w:r>
              <w:rPr>
                <w:rFonts w:ascii="Times New Roman" w:hAnsi="Times New Roman"/>
              </w:rPr>
              <w:t>)/</w:t>
            </w:r>
            <w:proofErr w:type="spellStart"/>
            <w:r>
              <w:rPr>
                <w:rFonts w:ascii="Times New Roman" w:hAnsi="Times New Roman"/>
              </w:rPr>
              <w:t>Дп</w:t>
            </w:r>
            <w:proofErr w:type="spellEnd"/>
            <w:r>
              <w:rPr>
                <w:rFonts w:ascii="Times New Roman" w:hAnsi="Times New Roman"/>
              </w:rPr>
              <w:t>*100%, где: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Дп</w:t>
            </w:r>
            <w:proofErr w:type="spellEnd"/>
            <w:r>
              <w:rPr>
                <w:rFonts w:ascii="Times New Roman" w:hAnsi="Times New Roman"/>
              </w:rPr>
              <w:t xml:space="preserve"> - плановые назначения по доходам на конец отчетного периода;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Дф</w:t>
            </w:r>
            <w:proofErr w:type="spellEnd"/>
            <w:r>
              <w:rPr>
                <w:rFonts w:ascii="Times New Roman" w:hAnsi="Times New Roman"/>
              </w:rPr>
              <w:t xml:space="preserve"> - фактическое поступление доходов на конец отчетного периода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jc w:val="left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до 5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8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Показатель характеризует качество управления доходами местного бюджета. 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Ориентиром является снижение неисполненных плановых назначений 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jc w:val="left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5 до 10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250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jc w:val="left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10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jc w:val="left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20 до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jc w:val="left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7</w:t>
            </w:r>
            <w:proofErr w:type="gram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Динамика поступления доходов </w:t>
            </w:r>
            <w:r>
              <w:rPr>
                <w:rFonts w:ascii="Times New Roman" w:hAnsi="Times New Roman"/>
              </w:rPr>
              <w:br/>
              <w:t>по сравнению с периодом, предшествующим отчетному.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>=Дф-ДФпо, где: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ДФпо</w:t>
            </w:r>
            <w:proofErr w:type="spellEnd"/>
            <w:r>
              <w:rPr>
                <w:rFonts w:ascii="Times New Roman" w:hAnsi="Times New Roman"/>
              </w:rPr>
              <w:t xml:space="preserve"> - фактическое поступление доходов в периоде, предшествующем </w:t>
            </w:r>
            <w:proofErr w:type="gramStart"/>
            <w:r>
              <w:rPr>
                <w:rFonts w:ascii="Times New Roman" w:hAnsi="Times New Roman"/>
              </w:rPr>
              <w:t>отчетному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Положительная, более 15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8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CE35B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CE35BF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CE35BF" w:rsidRPr="00CE35BF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увеличение доходной части местного бюджета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Положительная, от 5 до 15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FF18E2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CE35BF">
              <w:rPr>
                <w:rFonts w:ascii="Times New Roman" w:hAnsi="Times New Roman" w:hint="default"/>
                <w:sz w:val="22"/>
                <w:szCs w:val="22"/>
              </w:rPr>
              <w:t>4</w:t>
            </w:r>
            <w:r w:rsidR="00FF18E2">
              <w:rPr>
                <w:rFonts w:ascii="Times New Roman" w:hAnsi="Times New Roman" w:hint="defaul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Отсутствие динамики (изменения в пределах +/- 5 процентов не учитываются)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Отрицательная, от 5 до 15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 xml:space="preserve">Отрицательная, более 15 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A3DA9" w:rsidTr="00A2160B">
        <w:tc>
          <w:tcPr>
            <w:tcW w:w="13892" w:type="dxa"/>
            <w:gridSpan w:val="6"/>
          </w:tcPr>
          <w:p w:rsidR="006A3DA9" w:rsidRPr="006A3DA9" w:rsidRDefault="006A3DA9" w:rsidP="006A3DA9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Ка</w:t>
            </w:r>
            <w:r w:rsidRPr="006A3DA9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чество управления обязательствами в процессе исполнения бюджета – 10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Р8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кредиторской </w:t>
            </w:r>
            <w:r>
              <w:rPr>
                <w:rFonts w:ascii="Times New Roman" w:hAnsi="Times New Roman"/>
              </w:rPr>
              <w:lastRenderedPageBreak/>
              <w:t>задолженностью.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Р8=(</w:t>
            </w:r>
            <w:proofErr w:type="spellStart"/>
            <w:r>
              <w:rPr>
                <w:rFonts w:ascii="Times New Roman" w:hAnsi="Times New Roman"/>
              </w:rPr>
              <w:t>КЗк-КЗн</w:t>
            </w:r>
            <w:proofErr w:type="spellEnd"/>
            <w:r>
              <w:rPr>
                <w:rFonts w:ascii="Times New Roman" w:hAnsi="Times New Roman"/>
              </w:rPr>
              <w:t>)/</w:t>
            </w:r>
            <w:proofErr w:type="spellStart"/>
            <w:r>
              <w:rPr>
                <w:rFonts w:ascii="Times New Roman" w:hAnsi="Times New Roman"/>
              </w:rPr>
              <w:t>КЗн</w:t>
            </w:r>
            <w:proofErr w:type="spellEnd"/>
            <w:r>
              <w:rPr>
                <w:rFonts w:ascii="Times New Roman" w:hAnsi="Times New Roman"/>
              </w:rPr>
              <w:t>*100%, где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КЗн</w:t>
            </w:r>
            <w:proofErr w:type="spellEnd"/>
            <w:r>
              <w:rPr>
                <w:rFonts w:ascii="Times New Roman" w:hAnsi="Times New Roman"/>
              </w:rPr>
              <w:t xml:space="preserve"> – просроченная кредиторская задолженность на начало отчетного периода,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КЗк</w:t>
            </w:r>
            <w:proofErr w:type="spellEnd"/>
            <w:r>
              <w:rPr>
                <w:rFonts w:ascii="Times New Roman" w:hAnsi="Times New Roman"/>
              </w:rPr>
              <w:t xml:space="preserve"> – просроченная кредиторская задолженность на конец отчетного периода  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Отрицательное значение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Негативным считается факт накопления просроченной </w:t>
            </w:r>
            <w:r>
              <w:rPr>
                <w:rFonts w:ascii="Times New Roman" w:hAnsi="Times New Roman" w:hint="default"/>
                <w:sz w:val="22"/>
                <w:szCs w:val="22"/>
              </w:rPr>
              <w:lastRenderedPageBreak/>
              <w:t xml:space="preserve">задолженности, а также </w:t>
            </w:r>
            <w:r>
              <w:rPr>
                <w:rFonts w:ascii="Times New Roman" w:hAnsi="Times New Roman" w:hint="default"/>
                <w:b/>
                <w:bCs/>
                <w:sz w:val="22"/>
                <w:szCs w:val="22"/>
              </w:rPr>
              <w:t xml:space="preserve">опережающий рост дебиторской задолженности </w:t>
            </w:r>
            <w:proofErr w:type="gramStart"/>
            <w:r>
              <w:rPr>
                <w:rFonts w:ascii="Times New Roman" w:hAnsi="Times New Roman" w:hint="default"/>
                <w:b/>
                <w:bCs/>
                <w:sz w:val="22"/>
                <w:szCs w:val="22"/>
              </w:rPr>
              <w:t>перед</w:t>
            </w:r>
            <w:proofErr w:type="gramEnd"/>
            <w:r>
              <w:rPr>
                <w:rFonts w:ascii="Times New Roman" w:hAnsi="Times New Roman" w:hint="default"/>
                <w:b/>
                <w:bCs/>
                <w:sz w:val="22"/>
                <w:szCs w:val="22"/>
              </w:rPr>
              <w:t xml:space="preserve"> кредиторской 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0 до 10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10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дебиторской задолженностью.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  <w:r>
              <w:rPr>
                <w:rFonts w:ascii="Times New Roman" w:hAnsi="Times New Roman"/>
              </w:rPr>
              <w:t>=(</w:t>
            </w:r>
            <w:proofErr w:type="spellStart"/>
            <w:r>
              <w:rPr>
                <w:rFonts w:ascii="Times New Roman" w:hAnsi="Times New Roman"/>
              </w:rPr>
              <w:t>ДЗк-ДЗн</w:t>
            </w:r>
            <w:proofErr w:type="spellEnd"/>
            <w:r>
              <w:rPr>
                <w:rFonts w:ascii="Times New Roman" w:hAnsi="Times New Roman"/>
              </w:rPr>
              <w:t>)/</w:t>
            </w:r>
            <w:proofErr w:type="spellStart"/>
            <w:r>
              <w:rPr>
                <w:rFonts w:ascii="Times New Roman" w:hAnsi="Times New Roman"/>
              </w:rPr>
              <w:t>ДЗн</w:t>
            </w:r>
            <w:proofErr w:type="spellEnd"/>
            <w:r>
              <w:rPr>
                <w:rFonts w:ascii="Times New Roman" w:hAnsi="Times New Roman"/>
              </w:rPr>
              <w:t>*100%, где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ДЗн</w:t>
            </w:r>
            <w:proofErr w:type="spellEnd"/>
            <w:r>
              <w:rPr>
                <w:rFonts w:ascii="Times New Roman" w:hAnsi="Times New Roman"/>
              </w:rPr>
              <w:t xml:space="preserve"> – просроченная дебиторская задолженность на начало отчетного периода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ублей),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ДЗк</w:t>
            </w:r>
            <w:proofErr w:type="spellEnd"/>
            <w:r>
              <w:rPr>
                <w:rFonts w:ascii="Times New Roman" w:hAnsi="Times New Roman"/>
              </w:rPr>
              <w:t xml:space="preserve"> – просроченная дебиторская задолженность на конец отчетного периода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ублей.)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Если Р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9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больше Р8 – значение показателя, отличное от 1, дисконтируется на 1 балл.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Отрицательное значение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10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10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B2584" w:rsidTr="00A2160B">
        <w:tc>
          <w:tcPr>
            <w:tcW w:w="13892" w:type="dxa"/>
            <w:gridSpan w:val="6"/>
          </w:tcPr>
          <w:p w:rsidR="00FB2584" w:rsidRPr="00FB2584" w:rsidRDefault="00FB2584" w:rsidP="00FB2584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</w:pPr>
            <w:r w:rsidRPr="00FB2584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Достоверность бюджетной и бухгалтерской отчетности, качество ведения учета и отчетности – 10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Р10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сроков представления отчетности.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отражает количество дней отклонения от даты, назначенной ГАБС для представления годовой и </w:t>
            </w:r>
            <w:r>
              <w:rPr>
                <w:rFonts w:ascii="Times New Roman" w:hAnsi="Times New Roman"/>
              </w:rPr>
              <w:lastRenderedPageBreak/>
              <w:t>квартальной бухгалтерской отчетности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</w:p>
        </w:tc>
        <w:tc>
          <w:tcPr>
            <w:tcW w:w="1564" w:type="dxa"/>
          </w:tcPr>
          <w:p w:rsidR="00655CCF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Ориентиром является своевременное представление отчетности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1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2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hAnsi="Times New Roman" w:hint="default"/>
                <w:b/>
                <w:sz w:val="22"/>
                <w:szCs w:val="22"/>
              </w:rPr>
              <w:t>3</w:t>
            </w:r>
            <w:r w:rsidR="003F3B20" w:rsidRPr="003F3B20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3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4 и более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lastRenderedPageBreak/>
              <w:t>Р11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 xml:space="preserve">Нарушение установленных требований к составлению и представлению отчетности ГАБС и подведомственных муниципальных учреждений. 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Ориентиром является отсутствие нарушений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Устранены в ходе предварительной проверки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hAnsi="Times New Roman" w:hint="default"/>
                <w:b/>
                <w:sz w:val="22"/>
                <w:szCs w:val="22"/>
              </w:rPr>
              <w:t>4</w:t>
            </w:r>
            <w:r w:rsidR="003F3B20" w:rsidRPr="003F3B20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Устранены по результатам проверки контрольных органов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Частично устранены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Вынесено постановление о назначении дисциплинарного и (или) административного наказания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5267D1" w:rsidTr="00A2160B">
        <w:tc>
          <w:tcPr>
            <w:tcW w:w="13892" w:type="dxa"/>
            <w:gridSpan w:val="6"/>
          </w:tcPr>
          <w:p w:rsidR="005267D1" w:rsidRPr="005267D1" w:rsidRDefault="005267D1" w:rsidP="005267D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</w:pPr>
            <w:r w:rsidRPr="005267D1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Качество управления активами –</w:t>
            </w:r>
            <w:r w:rsidR="0057433C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 xml:space="preserve"> 1</w:t>
            </w:r>
            <w:r w:rsidRPr="005267D1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0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Р12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Проведение инвентаризации активов и обязательств.</w:t>
            </w:r>
          </w:p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Наличие документов, подтверждающих о проведение инвентаризации активов и обязательств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Инвентаризация проводилась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Pr="006259F6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6259F6">
              <w:rPr>
                <w:rFonts w:ascii="Times New Roman" w:hAnsi="Times New Roman" w:hint="default"/>
                <w:b/>
                <w:sz w:val="22"/>
                <w:szCs w:val="22"/>
              </w:rPr>
              <w:t>5</w:t>
            </w:r>
            <w:r w:rsidR="006259F6" w:rsidRPr="006259F6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ежегодное проведение инвентаризаций и отсутствие фактов хищений муниципальной собственности и недостач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Инвентаризация не проводилась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6259F6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  <w:lang w:val="en-US"/>
              </w:rPr>
            </w:pPr>
            <w:r w:rsidRPr="006259F6">
              <w:rPr>
                <w:rFonts w:ascii="Times New Roman" w:hAnsi="Times New Roman" w:hint="default"/>
                <w:sz w:val="22"/>
                <w:szCs w:val="22"/>
              </w:rPr>
              <w:t>1</w:t>
            </w:r>
            <w:r w:rsidR="003F3B20" w:rsidRPr="006259F6">
              <w:rPr>
                <w:rFonts w:ascii="Times New Roman" w:hAnsi="Times New Roman" w:hint="default"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Р13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Недостачи и хищения муниципальной собственности.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документов, подтверждающих факты выявления недостач и хищений муниципальной собственности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Если Р12=0, значение показателя Р13, отличное от 1, дисконтируется на 1 балл.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Отсутствуют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Присутствуют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0E27EC" w:rsidTr="00A2160B">
        <w:tc>
          <w:tcPr>
            <w:tcW w:w="13892" w:type="dxa"/>
            <w:gridSpan w:val="6"/>
          </w:tcPr>
          <w:p w:rsidR="000E27EC" w:rsidRPr="000E27EC" w:rsidRDefault="000E27EC" w:rsidP="000E27E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</w:pPr>
            <w:r w:rsidRPr="000E27EC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6.Качество осуществления закупок товаров, работ и услуг для обеспечения государственных нужд – 10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lastRenderedPageBreak/>
              <w:t>Р14*</w:t>
            </w:r>
          </w:p>
        </w:tc>
        <w:tc>
          <w:tcPr>
            <w:tcW w:w="3734" w:type="dxa"/>
            <w:vMerge w:val="restart"/>
          </w:tcPr>
          <w:p w:rsidR="00655CCF" w:rsidRPr="00DC17C2" w:rsidRDefault="00655CCF" w:rsidP="00726C3C">
            <w:pPr>
              <w:pStyle w:val="a8"/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</w:pPr>
            <w:r w:rsidRPr="00DC17C2"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>Доля закупок, проведенных конкурентными способами в общем количестве осуществленных закупок.</w:t>
            </w:r>
          </w:p>
          <w:p w:rsidR="00655CCF" w:rsidRPr="00DC17C2" w:rsidRDefault="00655CCF" w:rsidP="00726C3C">
            <w:pPr>
              <w:pStyle w:val="a8"/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</w:pPr>
            <w:r w:rsidRPr="00DC17C2"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>Оценка данного показателя производится в следующем порядке:</w:t>
            </w:r>
          </w:p>
          <w:p w:rsidR="00655CCF" w:rsidRPr="00DC17C2" w:rsidRDefault="00655CCF" w:rsidP="00726C3C">
            <w:pPr>
              <w:pStyle w:val="a8"/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</w:pPr>
            <w:r w:rsidRPr="00DC17C2"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  <w:t>Р14=</w:t>
            </w:r>
            <w:proofErr w:type="spellStart"/>
            <w:r w:rsidRPr="00DC17C2"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  <w:t>Кконк</w:t>
            </w:r>
            <w:proofErr w:type="gramStart"/>
            <w:r w:rsidRPr="00DC17C2"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DC17C2"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  <w:t>ак</w:t>
            </w:r>
            <w:proofErr w:type="spellEnd"/>
            <w:r w:rsidRPr="00DC17C2"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C17C2"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  <w:t>Кзак</w:t>
            </w:r>
            <w:proofErr w:type="spellEnd"/>
            <w:r w:rsidRPr="00DC17C2"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  <w:t>*100%, где:</w:t>
            </w:r>
          </w:p>
          <w:p w:rsidR="00655CCF" w:rsidRPr="00DC17C2" w:rsidRDefault="00655CCF" w:rsidP="00726C3C">
            <w:pPr>
              <w:pStyle w:val="a8"/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</w:pPr>
            <w:proofErr w:type="spellStart"/>
            <w:r w:rsidRPr="00DC17C2"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>Кзак</w:t>
            </w:r>
            <w:proofErr w:type="spellEnd"/>
            <w:r w:rsidRPr="00DC17C2"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 xml:space="preserve"> - общее количество закупок (в том числе закупки малого объема);</w:t>
            </w:r>
          </w:p>
          <w:p w:rsidR="00655CCF" w:rsidRPr="00DC17C2" w:rsidRDefault="00655CCF" w:rsidP="00726C3C">
            <w:pPr>
              <w:pStyle w:val="a8"/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</w:pPr>
            <w:proofErr w:type="spellStart"/>
            <w:r w:rsidRPr="00DC17C2"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>Кконк</w:t>
            </w:r>
            <w:proofErr w:type="gramStart"/>
            <w:r w:rsidRPr="00DC17C2"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DC17C2"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>ак</w:t>
            </w:r>
            <w:proofErr w:type="spellEnd"/>
            <w:r w:rsidRPr="00DC17C2"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 xml:space="preserve"> 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менее 10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075EAF" w:rsidRDefault="00075EA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  <w:color w:val="000000" w:themeColor="text1"/>
                <w:lang w:val="en-US"/>
              </w:rPr>
            </w:pPr>
            <w:r w:rsidRPr="00075EAF">
              <w:rPr>
                <w:rFonts w:ascii="Times New Roman" w:eastAsia="Times New Roman CYR" w:hAnsi="Times New Roman"/>
                <w:color w:val="000000" w:themeColor="text1"/>
              </w:rPr>
              <w:t>5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повышение объема закупок, осуществляемых конкурентными способами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DC17C2" w:rsidRDefault="00655CCF" w:rsidP="00726C3C">
            <w:pPr>
              <w:pStyle w:val="a9"/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10 до 15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075EA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color w:val="000000" w:themeColor="text1"/>
                <w:sz w:val="22"/>
                <w:szCs w:val="22"/>
                <w:lang w:val="en-US"/>
              </w:rPr>
            </w:pPr>
            <w:r w:rsidRPr="00075EAF">
              <w:rPr>
                <w:rFonts w:ascii="Times New Roman" w:hAnsi="Times New Roman" w:hint="default"/>
                <w:b/>
                <w:color w:val="000000" w:themeColor="text1"/>
                <w:sz w:val="22"/>
                <w:szCs w:val="22"/>
              </w:rPr>
              <w:t>4</w:t>
            </w:r>
            <w:r w:rsidR="00075EAF" w:rsidRPr="00075EAF">
              <w:rPr>
                <w:rFonts w:ascii="Times New Roman" w:hAnsi="Times New Roman" w:hint="default"/>
                <w:b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DC17C2" w:rsidRDefault="00655CCF" w:rsidP="00726C3C">
            <w:pPr>
              <w:pStyle w:val="a9"/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15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DC17C2" w:rsidRDefault="00655CCF" w:rsidP="00726C3C">
            <w:pPr>
              <w:pStyle w:val="a9"/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DC17C2" w:rsidRDefault="00655CCF" w:rsidP="00726C3C">
            <w:pPr>
              <w:pStyle w:val="a9"/>
              <w:rPr>
                <w:rFonts w:ascii="Times New Roman" w:eastAsia="Times New Roman CYR" w:hAnsi="Times New Roman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Р15*</w:t>
            </w:r>
          </w:p>
        </w:tc>
        <w:tc>
          <w:tcPr>
            <w:tcW w:w="3734" w:type="dxa"/>
            <w:vMerge w:val="restart"/>
          </w:tcPr>
          <w:p w:rsidR="00655CCF" w:rsidRPr="00DC17C2" w:rsidRDefault="00655CCF" w:rsidP="00726C3C">
            <w:pPr>
              <w:pStyle w:val="a8"/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</w:pPr>
            <w:r w:rsidRPr="00DC17C2"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>Доля стоимости заключенных государственных контрактов (у единственного поставщика) в совокупном годовом объеме закупок согласно планам-графикам, нарастающим итогом с начала года.</w:t>
            </w:r>
          </w:p>
          <w:p w:rsidR="00655CCF" w:rsidRPr="00DC17C2" w:rsidRDefault="00655CCF" w:rsidP="00726C3C">
            <w:pPr>
              <w:rPr>
                <w:rFonts w:ascii="Times New Roman" w:hAnsi="Times New Roman"/>
                <w:color w:val="000000" w:themeColor="text1"/>
              </w:rPr>
            </w:pPr>
            <w:r w:rsidRPr="00DC17C2">
              <w:rPr>
                <w:rFonts w:ascii="Times New Roman" w:hAnsi="Times New Roman"/>
                <w:color w:val="000000" w:themeColor="text1"/>
              </w:rPr>
              <w:t>Р15=</w:t>
            </w:r>
            <w:proofErr w:type="spellStart"/>
            <w:r w:rsidRPr="00DC17C2">
              <w:rPr>
                <w:rFonts w:ascii="Times New Roman" w:hAnsi="Times New Roman"/>
                <w:color w:val="000000" w:themeColor="text1"/>
              </w:rPr>
              <w:t>Кзак.ед</w:t>
            </w:r>
            <w:proofErr w:type="gramStart"/>
            <w:r w:rsidRPr="00DC17C2">
              <w:rPr>
                <w:rFonts w:ascii="Times New Roman" w:hAnsi="Times New Roman"/>
                <w:color w:val="000000" w:themeColor="text1"/>
              </w:rPr>
              <w:t>.п</w:t>
            </w:r>
            <w:proofErr w:type="spellEnd"/>
            <w:proofErr w:type="gramEnd"/>
            <w:r w:rsidRPr="00DC17C2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DC17C2">
              <w:rPr>
                <w:rFonts w:ascii="Times New Roman" w:hAnsi="Times New Roman"/>
                <w:color w:val="000000" w:themeColor="text1"/>
              </w:rPr>
              <w:t>Кг.пл</w:t>
            </w:r>
            <w:proofErr w:type="spellEnd"/>
            <w:r w:rsidRPr="00DC17C2">
              <w:rPr>
                <w:rFonts w:ascii="Times New Roman" w:hAnsi="Times New Roman"/>
                <w:color w:val="000000" w:themeColor="text1"/>
              </w:rPr>
              <w:t>*100%, где:</w:t>
            </w:r>
          </w:p>
          <w:p w:rsidR="00655CCF" w:rsidRPr="00DC17C2" w:rsidRDefault="00655CCF" w:rsidP="00726C3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C17C2">
              <w:rPr>
                <w:rFonts w:ascii="Times New Roman" w:hAnsi="Times New Roman"/>
                <w:color w:val="000000" w:themeColor="text1"/>
              </w:rPr>
              <w:t>Кзак.ед</w:t>
            </w:r>
            <w:proofErr w:type="gramStart"/>
            <w:r w:rsidRPr="00DC17C2">
              <w:rPr>
                <w:rFonts w:ascii="Times New Roman" w:hAnsi="Times New Roman"/>
                <w:color w:val="000000" w:themeColor="text1"/>
              </w:rPr>
              <w:t>.п</w:t>
            </w:r>
            <w:proofErr w:type="spellEnd"/>
            <w:proofErr w:type="gramEnd"/>
            <w:r w:rsidRPr="00DC17C2">
              <w:rPr>
                <w:rFonts w:ascii="Times New Roman" w:hAnsi="Times New Roman"/>
                <w:color w:val="000000" w:themeColor="text1"/>
              </w:rPr>
              <w:t xml:space="preserve"> - объем закупок у единственного поставщика</w:t>
            </w:r>
          </w:p>
          <w:p w:rsidR="00655CCF" w:rsidRPr="00DC17C2" w:rsidRDefault="00655CCF" w:rsidP="00726C3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C17C2">
              <w:rPr>
                <w:rFonts w:ascii="Times New Roman" w:hAnsi="Times New Roman"/>
                <w:color w:val="000000" w:themeColor="text1"/>
              </w:rPr>
              <w:t>Кг</w:t>
            </w:r>
            <w:proofErr w:type="gramStart"/>
            <w:r w:rsidRPr="00DC17C2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DC17C2">
              <w:rPr>
                <w:rFonts w:ascii="Times New Roman" w:hAnsi="Times New Roman"/>
                <w:color w:val="000000" w:themeColor="text1"/>
              </w:rPr>
              <w:t>л</w:t>
            </w:r>
            <w:proofErr w:type="spellEnd"/>
            <w:r w:rsidRPr="00DC17C2">
              <w:rPr>
                <w:rFonts w:ascii="Times New Roman" w:hAnsi="Times New Roman"/>
                <w:color w:val="000000" w:themeColor="text1"/>
              </w:rPr>
              <w:t xml:space="preserve"> - объем закупок согласно плану-графику закупок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менее 10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10 до 15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15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F554A4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F554A4">
              <w:rPr>
                <w:rFonts w:ascii="Times New Roman" w:hAnsi="Times New Roman" w:hint="default"/>
                <w:b/>
                <w:sz w:val="22"/>
                <w:szCs w:val="22"/>
              </w:rPr>
              <w:t>3</w:t>
            </w:r>
            <w:r w:rsidR="00F554A4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1399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A852A3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color w:val="000000" w:themeColor="text1"/>
                <w:sz w:val="22"/>
                <w:szCs w:val="22"/>
                <w:lang w:val="en-US"/>
              </w:rPr>
            </w:pPr>
            <w:r w:rsidRPr="00A852A3"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  <w:t>1</w:t>
            </w:r>
            <w:r w:rsidR="003F3B20" w:rsidRPr="00A852A3">
              <w:rPr>
                <w:rFonts w:ascii="Times New Roman" w:hAnsi="Times New Roman" w:hint="defaul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3A633D" w:rsidTr="00A2160B">
        <w:tc>
          <w:tcPr>
            <w:tcW w:w="13892" w:type="dxa"/>
            <w:gridSpan w:val="6"/>
          </w:tcPr>
          <w:p w:rsidR="003A633D" w:rsidRPr="00C44EE0" w:rsidRDefault="00CF0BE3" w:rsidP="003A633D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</w:rPr>
            </w:pPr>
            <w:r w:rsidRPr="00C44EE0">
              <w:rPr>
                <w:rFonts w:ascii="Times New Roman" w:hAnsi="Times New Roman" w:hint="default"/>
                <w:b/>
                <w:sz w:val="22"/>
                <w:szCs w:val="22"/>
              </w:rPr>
              <w:t>7.</w:t>
            </w:r>
            <w:r w:rsidR="00C44EE0" w:rsidRPr="00C44EE0">
              <w:rPr>
                <w:rFonts w:ascii="Times New Roman" w:hAnsi="Times New Roman" w:hint="default"/>
                <w:b/>
                <w:sz w:val="22"/>
                <w:szCs w:val="22"/>
              </w:rPr>
              <w:t>Прозрачность бюджетного процесса – 5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Р16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Опубликование на сайте отчетности об исполнении бюджета ГАБС  за отчетный период (год, квартал)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Опубликована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Оценивается доступность отчетности ГАБС об исполнении бюджета для населения 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Не опубликована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421238" w:rsidTr="00A2160B">
        <w:tc>
          <w:tcPr>
            <w:tcW w:w="13892" w:type="dxa"/>
            <w:gridSpan w:val="6"/>
          </w:tcPr>
          <w:p w:rsidR="00421238" w:rsidRPr="0054455D" w:rsidRDefault="0054455D" w:rsidP="0054455D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54455D">
              <w:rPr>
                <w:rFonts w:ascii="Times New Roman" w:hAnsi="Times New Roman"/>
                <w:b/>
              </w:rPr>
              <w:t>8. Организация системы контроля – 5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Р17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Неправомерное использование бюджетных средств, в том числе нецелевое использование </w:t>
            </w:r>
            <w:r>
              <w:rPr>
                <w:rFonts w:ascii="Times New Roman" w:hAnsi="Times New Roman"/>
              </w:rPr>
              <w:lastRenderedPageBreak/>
              <w:t xml:space="preserve">бюджетных средств.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Р17=</w:t>
            </w:r>
            <w:r>
              <w:rPr>
                <w:rFonts w:ascii="Times New Roman" w:hAnsi="Times New Roman"/>
                <w:lang w:val="en-US"/>
              </w:rPr>
              <w:t>Sn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*100%, где: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Sn</w:t>
            </w:r>
            <w:proofErr w:type="spellEnd"/>
            <w:r>
              <w:rPr>
                <w:rFonts w:ascii="Times New Roman" w:hAnsi="Times New Roman"/>
              </w:rPr>
              <w:t xml:space="preserve"> - объем неправомерного использования бюджетных средств, </w:t>
            </w:r>
            <w:r>
              <w:rPr>
                <w:rFonts w:ascii="Times New Roman" w:hAnsi="Times New Roman"/>
              </w:rPr>
              <w:br/>
              <w:t>в том числе нецелевого использования бюджетных средств, допущенных ГАБС и подведомственными ему муниципальными учреждениями;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 - кассовое исполнение расходов ГАБС за отчетный период. 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  <w:b/>
                <w:lang w:val="en-US"/>
              </w:rPr>
            </w:pPr>
            <w:r w:rsidRPr="003F3B20">
              <w:rPr>
                <w:rFonts w:ascii="Times New Roman" w:eastAsia="Times New Roman CYR" w:hAnsi="Times New Roman"/>
                <w:b/>
              </w:rPr>
              <w:t>5</w:t>
            </w:r>
            <w:r w:rsidR="003F3B20" w:rsidRPr="003F3B20">
              <w:rPr>
                <w:rFonts w:ascii="Times New Roman" w:eastAsia="Times New Roman CYR" w:hAnsi="Times New Roman"/>
                <w:b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отражает степень соблюдения бюджетного законодательства Российской </w:t>
            </w:r>
            <w:r>
              <w:rPr>
                <w:rFonts w:ascii="Times New Roman" w:hAnsi="Times New Roman"/>
              </w:rPr>
              <w:lastRenderedPageBreak/>
              <w:t>Федерации и иных нормативных правовых актов, регулирующих бюджетные правоотношения.</w:t>
            </w:r>
          </w:p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081A3E" w:rsidRPr="003F3B20" w:rsidTr="00A2160B">
        <w:tc>
          <w:tcPr>
            <w:tcW w:w="13892" w:type="dxa"/>
            <w:gridSpan w:val="6"/>
          </w:tcPr>
          <w:p w:rsidR="00081A3E" w:rsidRPr="00081A3E" w:rsidRDefault="00081A3E" w:rsidP="00081A3E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</w:rPr>
            </w:pPr>
            <w:r w:rsidRPr="00081A3E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9. качество выполнения </w:t>
            </w:r>
            <w:proofErr w:type="spellStart"/>
            <w:r w:rsidRPr="00081A3E">
              <w:rPr>
                <w:rFonts w:ascii="Times New Roman" w:hAnsi="Times New Roman" w:hint="default"/>
                <w:b/>
                <w:sz w:val="22"/>
                <w:szCs w:val="22"/>
              </w:rPr>
              <w:t>фенкций</w:t>
            </w:r>
            <w:proofErr w:type="spellEnd"/>
            <w:r w:rsidRPr="00081A3E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 и полномочий учредителя муниципальных учреждений – 15 баллов</w:t>
            </w:r>
          </w:p>
        </w:tc>
      </w:tr>
      <w:tr w:rsidR="00655CCF" w:rsidRPr="003F3B20" w:rsidTr="00655CCF">
        <w:tc>
          <w:tcPr>
            <w:tcW w:w="657" w:type="dxa"/>
            <w:vMerge w:val="restart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Р18**</w:t>
            </w:r>
          </w:p>
        </w:tc>
        <w:tc>
          <w:tcPr>
            <w:tcW w:w="3734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Выполнение муниципального задания по натуральным показателям (в разрезе муниципальных услуг (работ)).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Р18* = Мф/</w:t>
            </w:r>
            <w:proofErr w:type="spellStart"/>
            <w:r w:rsidRPr="003F3B20">
              <w:rPr>
                <w:rFonts w:ascii="Times New Roman" w:hAnsi="Times New Roman"/>
              </w:rPr>
              <w:t>Мпл</w:t>
            </w:r>
            <w:proofErr w:type="spellEnd"/>
            <w:r w:rsidRPr="003F3B20">
              <w:rPr>
                <w:rFonts w:ascii="Times New Roman" w:hAnsi="Times New Roman"/>
              </w:rPr>
              <w:t>*100%, где: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 w:rsidRPr="003F3B20">
              <w:rPr>
                <w:rFonts w:ascii="Times New Roman" w:hAnsi="Times New Roman"/>
              </w:rPr>
              <w:t>Мпл</w:t>
            </w:r>
            <w:proofErr w:type="spellEnd"/>
            <w:r w:rsidRPr="003F3B20">
              <w:rPr>
                <w:rFonts w:ascii="Times New Roman" w:hAnsi="Times New Roman"/>
              </w:rPr>
              <w:t xml:space="preserve"> – объем муниципального задания по соглашению на оказание муниципальной услуги (работы). 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proofErr w:type="spellStart"/>
            <w:r w:rsidRPr="003F3B20">
              <w:rPr>
                <w:rFonts w:ascii="Times New Roman" w:hAnsi="Times New Roman"/>
              </w:rPr>
              <w:t>Сфг</w:t>
            </w:r>
            <w:proofErr w:type="spellEnd"/>
            <w:r w:rsidRPr="003F3B20">
              <w:rPr>
                <w:rFonts w:ascii="Times New Roman" w:hAnsi="Times New Roman"/>
              </w:rPr>
              <w:t xml:space="preserve"> – фактически выполненное муниципальное задание за отчетный период</w:t>
            </w: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100 и более</w:t>
            </w:r>
          </w:p>
        </w:tc>
        <w:tc>
          <w:tcPr>
            <w:tcW w:w="1785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 w:rsidRPr="003F3B2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4" w:type="dxa"/>
          </w:tcPr>
          <w:p w:rsidR="00655CCF" w:rsidRPr="005441AE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  <w:b/>
                <w:lang w:val="en-US"/>
              </w:rPr>
            </w:pPr>
            <w:r w:rsidRPr="005441AE">
              <w:rPr>
                <w:rFonts w:ascii="Times New Roman" w:eastAsia="Times New Roman CYR" w:hAnsi="Times New Roman"/>
                <w:b/>
              </w:rPr>
              <w:t>5</w:t>
            </w:r>
            <w:r w:rsidR="005441AE" w:rsidRPr="005441AE">
              <w:rPr>
                <w:rFonts w:ascii="Times New Roman" w:eastAsia="Times New Roman CYR" w:hAnsi="Times New Roman"/>
                <w:b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Ориентиром является снижение доли неисполненных назначений</w:t>
            </w: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95 до 100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90 до 95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85 до 90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до 85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 w:val="restart"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3F3B20">
              <w:rPr>
                <w:rFonts w:ascii="Times New Roman" w:eastAsia="Times New Roman CYR" w:hAnsi="Times New Roman" w:hint="default"/>
                <w:sz w:val="22"/>
                <w:szCs w:val="22"/>
              </w:rPr>
              <w:t>Р19</w:t>
            </w:r>
          </w:p>
        </w:tc>
        <w:tc>
          <w:tcPr>
            <w:tcW w:w="3734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 xml:space="preserve">Доля неизрасходованных средств субсидии на финансовое обеспечение выполнения муниципального задания (бюджетных ассигнований казенного учреждения в соответствии со сметой учреждения и расчетом </w:t>
            </w:r>
            <w:r w:rsidRPr="003F3B20">
              <w:rPr>
                <w:rFonts w:ascii="Times New Roman" w:hAnsi="Times New Roman"/>
              </w:rPr>
              <w:lastRenderedPageBreak/>
              <w:t>затрат на финансовое обеспечение выполнения муниципального задания) на конец отчетного периода.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lastRenderedPageBreak/>
              <w:t>100 и более</w:t>
            </w:r>
          </w:p>
        </w:tc>
        <w:tc>
          <w:tcPr>
            <w:tcW w:w="1785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 w:rsidRPr="003F3B20">
              <w:rPr>
                <w:rFonts w:ascii="Times New Roman" w:eastAsia="Times New Roman CYR" w:hAnsi="Times New Roman"/>
              </w:rPr>
              <w:t>процент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F3B20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3827" w:type="dxa"/>
            <w:vMerge w:val="restart"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Ориентиром является полное освоение выделенных средств</w:t>
            </w: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95 до 100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B34E8C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color w:val="000000" w:themeColor="text1"/>
                <w:sz w:val="22"/>
                <w:szCs w:val="22"/>
                <w:lang w:val="en-US"/>
              </w:rPr>
            </w:pPr>
            <w:r w:rsidRPr="00B34E8C">
              <w:rPr>
                <w:rFonts w:ascii="Times New Roman" w:hAnsi="Times New Roman" w:hint="default"/>
                <w:b/>
                <w:color w:val="000000" w:themeColor="text1"/>
                <w:sz w:val="22"/>
                <w:szCs w:val="22"/>
              </w:rPr>
              <w:t>4</w:t>
            </w:r>
            <w:r w:rsidR="0045647E" w:rsidRPr="00B34E8C">
              <w:rPr>
                <w:rFonts w:ascii="Times New Roman" w:hAnsi="Times New Roman" w:hint="default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40A65" w:rsidRPr="00B34E8C">
              <w:rPr>
                <w:rFonts w:ascii="Times New Roman" w:hAnsi="Times New Roman" w:hint="default"/>
                <w:b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90 до 95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85 до 90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до 85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940A65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  <w:lang w:val="en-US"/>
              </w:rPr>
            </w:pPr>
            <w:r w:rsidRPr="00940A65"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 w:val="restart"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3F3B20">
              <w:rPr>
                <w:rFonts w:ascii="Times New Roman" w:eastAsia="Times New Roman CYR" w:hAnsi="Times New Roman" w:hint="default"/>
                <w:sz w:val="22"/>
                <w:szCs w:val="22"/>
              </w:rPr>
              <w:lastRenderedPageBreak/>
              <w:t>Р20</w:t>
            </w:r>
          </w:p>
        </w:tc>
        <w:tc>
          <w:tcPr>
            <w:tcW w:w="3734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 xml:space="preserve">Открытость, доступность, своевременность и полнота информации о плане финансово-хозяйственной деятельности муниципального учреждения на официальном сайте размещения информации </w:t>
            </w:r>
            <w:hyperlink r:id="rId7" w:history="1">
              <w:r w:rsidRPr="003F3B20">
                <w:rPr>
                  <w:rStyle w:val="a5"/>
                  <w:rFonts w:ascii="Times New Roman" w:hAnsi="Times New Roman" w:hint="eastAsia"/>
                  <w:color w:val="auto"/>
                  <w:lang w:val="en-US"/>
                </w:rPr>
                <w:t>www</w:t>
              </w:r>
              <w:r w:rsidRPr="003F3B20">
                <w:rPr>
                  <w:rStyle w:val="a5"/>
                  <w:rFonts w:ascii="Times New Roman" w:hAnsi="Times New Roman" w:hint="eastAsia"/>
                  <w:color w:val="auto"/>
                </w:rPr>
                <w:t>.</w:t>
              </w:r>
              <w:r w:rsidRPr="003F3B20">
                <w:rPr>
                  <w:rStyle w:val="a5"/>
                  <w:rFonts w:ascii="Times New Roman" w:hAnsi="Times New Roman" w:hint="eastAsia"/>
                  <w:color w:val="auto"/>
                  <w:lang w:val="en-US"/>
                </w:rPr>
                <w:t>bus</w:t>
              </w:r>
              <w:r w:rsidRPr="003F3B20">
                <w:rPr>
                  <w:rStyle w:val="a5"/>
                  <w:rFonts w:ascii="Times New Roman" w:hAnsi="Times New Roman" w:hint="eastAsia"/>
                  <w:color w:val="auto"/>
                </w:rPr>
                <w:t>.</w:t>
              </w:r>
              <w:proofErr w:type="spellStart"/>
              <w:r w:rsidRPr="003F3B20">
                <w:rPr>
                  <w:rStyle w:val="a5"/>
                  <w:rFonts w:ascii="Times New Roman" w:hAnsi="Times New Roman" w:hint="eastAsia"/>
                  <w:color w:val="auto"/>
                  <w:lang w:val="en-US"/>
                </w:rPr>
                <w:t>gov</w:t>
              </w:r>
              <w:proofErr w:type="spellEnd"/>
              <w:r w:rsidRPr="003F3B20">
                <w:rPr>
                  <w:rStyle w:val="a5"/>
                  <w:rFonts w:ascii="Times New Roman" w:hAnsi="Times New Roman" w:hint="eastAsia"/>
                  <w:color w:val="auto"/>
                </w:rPr>
                <w:t>.</w:t>
              </w:r>
              <w:proofErr w:type="spellStart"/>
              <w:r w:rsidRPr="003F3B20">
                <w:rPr>
                  <w:rStyle w:val="a5"/>
                  <w:rFonts w:ascii="Times New Roman" w:hAnsi="Times New Roman" w:hint="eastAsia"/>
                  <w:color w:val="auto"/>
                  <w:lang w:val="en-US"/>
                </w:rPr>
                <w:t>ru</w:t>
              </w:r>
              <w:proofErr w:type="spellEnd"/>
            </w:hyperlink>
            <w:r w:rsidRPr="003F3B20">
              <w:rPr>
                <w:rFonts w:ascii="Times New Roman" w:hAnsi="Times New Roman"/>
              </w:rPr>
              <w:t>.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К негативным фактам относятся: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1.нарушение сроков размещения информации,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2. размещение неполной информации;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 w:rsidRPr="003F3B20">
              <w:rPr>
                <w:rFonts w:ascii="Times New Roman" w:hAnsi="Times New Roman"/>
              </w:rPr>
              <w:t>3. размещение недостоверной информации.</w:t>
            </w: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 w:rsidRPr="003F3B20">
              <w:rPr>
                <w:rFonts w:ascii="Times New Roman" w:hAnsi="Times New Roman"/>
              </w:rPr>
              <w:t>единица</w:t>
            </w:r>
          </w:p>
        </w:tc>
        <w:tc>
          <w:tcPr>
            <w:tcW w:w="1564" w:type="dxa"/>
          </w:tcPr>
          <w:p w:rsidR="00655CCF" w:rsidRPr="005441AE" w:rsidRDefault="00655CCF" w:rsidP="00726C3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41AE">
              <w:rPr>
                <w:rFonts w:ascii="Times New Roman" w:eastAsia="Times New Roman CYR" w:hAnsi="Times New Roman"/>
                <w:b/>
              </w:rPr>
              <w:t>5</w:t>
            </w:r>
            <w:r w:rsidR="005441AE" w:rsidRPr="005441AE">
              <w:rPr>
                <w:rFonts w:ascii="Times New Roman" w:eastAsia="Times New Roman CYR" w:hAnsi="Times New Roman"/>
                <w:b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 w:rsidRPr="003F3B20">
              <w:rPr>
                <w:rFonts w:ascii="Times New Roman" w:hAnsi="Times New Roman"/>
              </w:rPr>
              <w:t>Ориентиром является своевременное и полное размещение информации о плане финансово-хозяйственной деятельности</w:t>
            </w: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Наличие фактов по п.1 (до 5 рабочих дней) и (или) 2 по плану ФХД на дату.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Наличие фактов по пп.1 (от 5 рабочих дней и выше) и (или) 2 по планам ФХД на разные даты в течение года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 xml:space="preserve">Наличие фактов по </w:t>
            </w:r>
            <w:proofErr w:type="spellStart"/>
            <w:r w:rsidRPr="003F3B20">
              <w:rPr>
                <w:rFonts w:ascii="Times New Roman" w:hAnsi="Times New Roman"/>
              </w:rPr>
              <w:t>пп</w:t>
            </w:r>
            <w:proofErr w:type="spellEnd"/>
            <w:r w:rsidRPr="003F3B20">
              <w:rPr>
                <w:rFonts w:ascii="Times New Roman" w:hAnsi="Times New Roman"/>
              </w:rPr>
              <w:t>. 1, 2 и (или) 3 по плану ФХД на дату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 xml:space="preserve">Наличие фактов по </w:t>
            </w:r>
            <w:proofErr w:type="spellStart"/>
            <w:r w:rsidRPr="003F3B20">
              <w:rPr>
                <w:rFonts w:ascii="Times New Roman" w:hAnsi="Times New Roman"/>
              </w:rPr>
              <w:t>пп</w:t>
            </w:r>
            <w:proofErr w:type="spellEnd"/>
            <w:r w:rsidRPr="003F3B20">
              <w:rPr>
                <w:rFonts w:ascii="Times New Roman" w:hAnsi="Times New Roman"/>
              </w:rPr>
              <w:t>. 1, 2 и (или) 3 по планам ФХД на разные даты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</w:tr>
    </w:tbl>
    <w:p w:rsidR="0045647E" w:rsidRPr="00C4377C" w:rsidRDefault="009B37B1" w:rsidP="0045647E">
      <w:pPr>
        <w:jc w:val="center"/>
        <w:rPr>
          <w:rFonts w:ascii="Times New Roman" w:hAnsi="Times New Roman"/>
          <w:b/>
          <w:sz w:val="24"/>
          <w:szCs w:val="24"/>
        </w:rPr>
      </w:pPr>
      <w:r w:rsidRPr="00C4377C">
        <w:rPr>
          <w:rFonts w:ascii="Times New Roman" w:hAnsi="Times New Roman"/>
          <w:b/>
          <w:sz w:val="24"/>
          <w:szCs w:val="24"/>
        </w:rPr>
        <w:t xml:space="preserve">  ИТОГО</w:t>
      </w:r>
      <w:r w:rsidR="0045647E" w:rsidRPr="00C4377C">
        <w:rPr>
          <w:rFonts w:ascii="Times New Roman" w:hAnsi="Times New Roman"/>
          <w:b/>
          <w:sz w:val="24"/>
          <w:szCs w:val="24"/>
        </w:rPr>
        <w:t xml:space="preserve">: </w:t>
      </w:r>
      <w:r w:rsidR="00232E99" w:rsidRPr="00FF18E2">
        <w:rPr>
          <w:rFonts w:ascii="Times New Roman" w:hAnsi="Times New Roman"/>
          <w:sz w:val="24"/>
          <w:szCs w:val="24"/>
        </w:rPr>
        <w:t>8</w:t>
      </w:r>
      <w:r w:rsidR="004B1470" w:rsidRPr="00FF18E2">
        <w:rPr>
          <w:rFonts w:ascii="Times New Roman" w:hAnsi="Times New Roman"/>
          <w:sz w:val="24"/>
          <w:szCs w:val="24"/>
        </w:rPr>
        <w:t>7</w:t>
      </w:r>
      <w:r w:rsidR="007F2F46" w:rsidRPr="00C4377C">
        <w:rPr>
          <w:rFonts w:ascii="Times New Roman" w:hAnsi="Times New Roman"/>
          <w:b/>
          <w:sz w:val="24"/>
          <w:szCs w:val="24"/>
        </w:rPr>
        <w:t xml:space="preserve"> балл</w:t>
      </w:r>
      <w:r w:rsidR="009B1079" w:rsidRPr="009B1079">
        <w:rPr>
          <w:rFonts w:ascii="Times New Roman" w:hAnsi="Times New Roman"/>
          <w:b/>
          <w:sz w:val="24"/>
          <w:szCs w:val="24"/>
        </w:rPr>
        <w:t>а</w:t>
      </w:r>
      <w:r w:rsidR="0045647E" w:rsidRPr="00C4377C">
        <w:rPr>
          <w:rFonts w:ascii="Times New Roman" w:hAnsi="Times New Roman"/>
          <w:b/>
          <w:sz w:val="24"/>
          <w:szCs w:val="24"/>
        </w:rPr>
        <w:t xml:space="preserve"> из 100</w:t>
      </w:r>
      <w:r w:rsidR="00C4377C" w:rsidRPr="00C4377C">
        <w:rPr>
          <w:rFonts w:ascii="Times New Roman" w:hAnsi="Times New Roman"/>
          <w:b/>
          <w:sz w:val="24"/>
          <w:szCs w:val="24"/>
        </w:rPr>
        <w:t xml:space="preserve"> - </w:t>
      </w:r>
      <w:r w:rsidR="00232E99" w:rsidRPr="00C4377C">
        <w:rPr>
          <w:rFonts w:ascii="Times New Roman" w:hAnsi="Times New Roman"/>
          <w:b/>
          <w:sz w:val="24"/>
          <w:szCs w:val="24"/>
        </w:rPr>
        <w:t xml:space="preserve"> </w:t>
      </w:r>
      <w:r w:rsidR="00FC21F4" w:rsidRPr="00C4377C">
        <w:rPr>
          <w:rFonts w:ascii="Times New Roman" w:hAnsi="Times New Roman"/>
          <w:b/>
          <w:sz w:val="24"/>
          <w:szCs w:val="24"/>
        </w:rPr>
        <w:t xml:space="preserve">уровень </w:t>
      </w:r>
      <w:r w:rsidR="00232E99" w:rsidRPr="00C4377C">
        <w:rPr>
          <w:rFonts w:ascii="Times New Roman" w:hAnsi="Times New Roman"/>
          <w:b/>
          <w:sz w:val="24"/>
          <w:szCs w:val="24"/>
        </w:rPr>
        <w:t>выше среднего</w:t>
      </w:r>
      <w:r w:rsidR="00FF18E2">
        <w:rPr>
          <w:rFonts w:ascii="Times New Roman" w:hAnsi="Times New Roman"/>
          <w:b/>
          <w:sz w:val="24"/>
          <w:szCs w:val="24"/>
        </w:rPr>
        <w:t>,</w:t>
      </w:r>
      <w:r w:rsidR="0045647E" w:rsidRPr="00C4377C">
        <w:rPr>
          <w:rFonts w:ascii="Times New Roman" w:hAnsi="Times New Roman"/>
          <w:b/>
          <w:sz w:val="24"/>
          <w:szCs w:val="24"/>
        </w:rPr>
        <w:t xml:space="preserve"> </w:t>
      </w:r>
      <w:r w:rsidR="00FC21F4" w:rsidRPr="00C4377C">
        <w:rPr>
          <w:rFonts w:ascii="Times New Roman" w:hAnsi="Times New Roman"/>
          <w:b/>
          <w:sz w:val="24"/>
          <w:szCs w:val="24"/>
        </w:rPr>
        <w:t>что соответствует 2 степени качества управления финансовым менеджментом</w:t>
      </w:r>
      <w:r w:rsidR="00FF18E2">
        <w:rPr>
          <w:rFonts w:ascii="Times New Roman" w:hAnsi="Times New Roman"/>
          <w:b/>
          <w:sz w:val="24"/>
          <w:szCs w:val="24"/>
        </w:rPr>
        <w:t>.</w:t>
      </w:r>
    </w:p>
    <w:p w:rsidR="0045647E" w:rsidRPr="009B37B1" w:rsidRDefault="0045647E" w:rsidP="00E31A4B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E31A4B" w:rsidRPr="003F3B20" w:rsidRDefault="00E31A4B" w:rsidP="00E31A4B">
      <w:pPr>
        <w:rPr>
          <w:rFonts w:ascii="Times New Roman" w:hAnsi="Times New Roman"/>
          <w:szCs w:val="24"/>
        </w:rPr>
      </w:pPr>
      <w:r w:rsidRPr="003F3B20">
        <w:rPr>
          <w:rFonts w:ascii="Times New Roman" w:hAnsi="Times New Roman"/>
          <w:szCs w:val="24"/>
        </w:rPr>
        <w:t xml:space="preserve">* В случае расчета показателей за период, отличный от финансового года, значения показателей определяются пропорционально </w:t>
      </w:r>
      <w:proofErr w:type="gramStart"/>
      <w:r w:rsidRPr="003F3B20">
        <w:rPr>
          <w:rFonts w:ascii="Times New Roman" w:hAnsi="Times New Roman"/>
          <w:szCs w:val="24"/>
        </w:rPr>
        <w:t>годовым</w:t>
      </w:r>
      <w:proofErr w:type="gramEnd"/>
      <w:r w:rsidRPr="003F3B20">
        <w:rPr>
          <w:rFonts w:ascii="Times New Roman" w:hAnsi="Times New Roman"/>
          <w:szCs w:val="24"/>
        </w:rPr>
        <w:t xml:space="preserve"> </w:t>
      </w:r>
    </w:p>
    <w:p w:rsidR="00E31A4B" w:rsidRPr="003F3B20" w:rsidRDefault="00E31A4B" w:rsidP="00E31A4B">
      <w:pPr>
        <w:rPr>
          <w:rFonts w:ascii="Times New Roman" w:hAnsi="Times New Roman"/>
          <w:szCs w:val="24"/>
        </w:rPr>
      </w:pPr>
      <w:r w:rsidRPr="003F3B20">
        <w:rPr>
          <w:rFonts w:ascii="Times New Roman" w:hAnsi="Times New Roman"/>
          <w:szCs w:val="24"/>
        </w:rPr>
        <w:t>** Показатели рассчитываются по каждой муниципальной услуге (работе) а затем вычисляется среднее значение.</w:t>
      </w:r>
    </w:p>
    <w:p w:rsidR="00045991" w:rsidRPr="006F49EF" w:rsidRDefault="00045991" w:rsidP="006F49EF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sectPr w:rsidR="00045991" w:rsidRPr="006F49EF" w:rsidSect="00E31A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8578C"/>
    <w:multiLevelType w:val="singleLevel"/>
    <w:tmpl w:val="A8A8578C"/>
    <w:lvl w:ilvl="0">
      <w:start w:val="9"/>
      <w:numFmt w:val="decimal"/>
      <w:suff w:val="space"/>
      <w:lvlText w:val="%1."/>
      <w:lvlJc w:val="left"/>
    </w:lvl>
  </w:abstractNum>
  <w:abstractNum w:abstractNumId="1">
    <w:nsid w:val="31246A6F"/>
    <w:multiLevelType w:val="hybridMultilevel"/>
    <w:tmpl w:val="585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E1FA7"/>
    <w:multiLevelType w:val="hybridMultilevel"/>
    <w:tmpl w:val="2E9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88C"/>
    <w:rsid w:val="00045991"/>
    <w:rsid w:val="00075EAF"/>
    <w:rsid w:val="00081A3E"/>
    <w:rsid w:val="000978DA"/>
    <w:rsid w:val="000E27EC"/>
    <w:rsid w:val="001027DE"/>
    <w:rsid w:val="00106679"/>
    <w:rsid w:val="001B5C34"/>
    <w:rsid w:val="001D1D64"/>
    <w:rsid w:val="001E101E"/>
    <w:rsid w:val="00201DBE"/>
    <w:rsid w:val="00232E99"/>
    <w:rsid w:val="002A1D69"/>
    <w:rsid w:val="002C5A23"/>
    <w:rsid w:val="002D6D7E"/>
    <w:rsid w:val="00322DED"/>
    <w:rsid w:val="00392325"/>
    <w:rsid w:val="003A633D"/>
    <w:rsid w:val="003F3B20"/>
    <w:rsid w:val="00421238"/>
    <w:rsid w:val="0045647E"/>
    <w:rsid w:val="00463111"/>
    <w:rsid w:val="004B1470"/>
    <w:rsid w:val="005267D1"/>
    <w:rsid w:val="005441AE"/>
    <w:rsid w:val="0054455D"/>
    <w:rsid w:val="005448B8"/>
    <w:rsid w:val="0057433C"/>
    <w:rsid w:val="005E197D"/>
    <w:rsid w:val="006052E0"/>
    <w:rsid w:val="006259F6"/>
    <w:rsid w:val="0064577F"/>
    <w:rsid w:val="006526EA"/>
    <w:rsid w:val="00655CCF"/>
    <w:rsid w:val="00687B8C"/>
    <w:rsid w:val="00690EF0"/>
    <w:rsid w:val="006A3DA9"/>
    <w:rsid w:val="006B79C1"/>
    <w:rsid w:val="006F49EF"/>
    <w:rsid w:val="00711965"/>
    <w:rsid w:val="00726C3C"/>
    <w:rsid w:val="007F2F46"/>
    <w:rsid w:val="00825A38"/>
    <w:rsid w:val="008E24E1"/>
    <w:rsid w:val="008E3D82"/>
    <w:rsid w:val="00905D61"/>
    <w:rsid w:val="00940A65"/>
    <w:rsid w:val="00945AD2"/>
    <w:rsid w:val="009B1079"/>
    <w:rsid w:val="009B37B1"/>
    <w:rsid w:val="009F659D"/>
    <w:rsid w:val="00A15CA9"/>
    <w:rsid w:val="00A2160B"/>
    <w:rsid w:val="00A22985"/>
    <w:rsid w:val="00A852A3"/>
    <w:rsid w:val="00AA3619"/>
    <w:rsid w:val="00AE72A9"/>
    <w:rsid w:val="00AF6F23"/>
    <w:rsid w:val="00B21D14"/>
    <w:rsid w:val="00B34E8C"/>
    <w:rsid w:val="00B5423D"/>
    <w:rsid w:val="00B636DB"/>
    <w:rsid w:val="00B9088C"/>
    <w:rsid w:val="00C14B47"/>
    <w:rsid w:val="00C4377C"/>
    <w:rsid w:val="00C44EE0"/>
    <w:rsid w:val="00C664A3"/>
    <w:rsid w:val="00C83A1F"/>
    <w:rsid w:val="00CE35BF"/>
    <w:rsid w:val="00CF0BE3"/>
    <w:rsid w:val="00D15009"/>
    <w:rsid w:val="00D87C6D"/>
    <w:rsid w:val="00DC17C2"/>
    <w:rsid w:val="00DE4C0D"/>
    <w:rsid w:val="00E2085F"/>
    <w:rsid w:val="00E31A4B"/>
    <w:rsid w:val="00E5720E"/>
    <w:rsid w:val="00E6035C"/>
    <w:rsid w:val="00E6344C"/>
    <w:rsid w:val="00E66B91"/>
    <w:rsid w:val="00F245E1"/>
    <w:rsid w:val="00F43843"/>
    <w:rsid w:val="00F554A4"/>
    <w:rsid w:val="00F56402"/>
    <w:rsid w:val="00F87A14"/>
    <w:rsid w:val="00FB2584"/>
    <w:rsid w:val="00FC21F4"/>
    <w:rsid w:val="00FE1B31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23"/>
  </w:style>
  <w:style w:type="paragraph" w:styleId="1">
    <w:name w:val="heading 1"/>
    <w:basedOn w:val="a"/>
    <w:next w:val="a"/>
    <w:link w:val="10"/>
    <w:uiPriority w:val="9"/>
    <w:qFormat/>
    <w:rsid w:val="00E31A4B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0"/>
    </w:pPr>
    <w:rPr>
      <w:rFonts w:ascii="Calibri Light" w:eastAsia="Times New Roman" w:hAnsi="Calibri Light" w:cs="Times New Roman" w:hint="eastAs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8C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E66B91"/>
  </w:style>
  <w:style w:type="character" w:styleId="a5">
    <w:name w:val="Hyperlink"/>
    <w:basedOn w:val="a0"/>
    <w:uiPriority w:val="99"/>
    <w:unhideWhenUsed/>
    <w:rsid w:val="00905D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1A4B"/>
    <w:rPr>
      <w:rFonts w:ascii="Calibri Light" w:eastAsia="Times New Roman" w:hAnsi="Calibri Light" w:cs="Times New Roman"/>
      <w:b/>
      <w:kern w:val="32"/>
      <w:sz w:val="32"/>
      <w:szCs w:val="20"/>
    </w:rPr>
  </w:style>
  <w:style w:type="character" w:customStyle="1" w:styleId="a6">
    <w:name w:val="Гипертекстовая ссылка"/>
    <w:uiPriority w:val="99"/>
    <w:unhideWhenUsed/>
    <w:rsid w:val="00E31A4B"/>
    <w:rPr>
      <w:rFonts w:ascii="Times New Roman" w:hint="default"/>
      <w:b w:val="0"/>
      <w:color w:val="106BBE"/>
      <w:sz w:val="24"/>
    </w:rPr>
  </w:style>
  <w:style w:type="character" w:customStyle="1" w:styleId="a7">
    <w:name w:val="Цветовое выделение"/>
    <w:uiPriority w:val="99"/>
    <w:unhideWhenUsed/>
    <w:rsid w:val="00E31A4B"/>
    <w:rPr>
      <w:rFonts w:hint="default"/>
      <w:b/>
      <w:color w:val="26282F"/>
      <w:sz w:val="24"/>
    </w:rPr>
  </w:style>
  <w:style w:type="paragraph" w:customStyle="1" w:styleId="a8">
    <w:name w:val="Прижатый влево"/>
    <w:basedOn w:val="a"/>
    <w:next w:val="a"/>
    <w:uiPriority w:val="99"/>
    <w:unhideWhenUsed/>
    <w:rsid w:val="00E31A4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 CYR" w:eastAsia="Times New Roman" w:hAnsi="Times New Roman CYR" w:cs="Times New Roman" w:hint="eastAsia"/>
      <w:sz w:val="24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unhideWhenUsed/>
    <w:rsid w:val="00E31A4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="Times New Roman" w:hAnsi="Times New Roman CYR" w:cs="Times New Roman" w:hint="eastAsia"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unhideWhenUsed/>
    <w:rsid w:val="001D1D64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Times New Roman" w:hint="eastAsi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DD0D-C1B2-445F-AE0E-64FF2EF8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Павлова</cp:lastModifiedBy>
  <cp:revision>14</cp:revision>
  <cp:lastPrinted>2021-11-10T12:30:00Z</cp:lastPrinted>
  <dcterms:created xsi:type="dcterms:W3CDTF">2024-04-18T09:44:00Z</dcterms:created>
  <dcterms:modified xsi:type="dcterms:W3CDTF">2024-05-03T12:45:00Z</dcterms:modified>
</cp:coreProperties>
</file>