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FF201F" w:rsidRDefault="003B0C7D" w:rsidP="00FF20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F201F">
        <w:rPr>
          <w:rFonts w:ascii="Times New Roman" w:hAnsi="Times New Roman"/>
          <w:b/>
          <w:sz w:val="24"/>
          <w:szCs w:val="24"/>
        </w:rPr>
        <w:t>Доклад</w:t>
      </w:r>
    </w:p>
    <w:p w:rsidR="003B0C7D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gramStart"/>
      <w:r w:rsidR="003B0C7D" w:rsidRPr="003B0C7D">
        <w:rPr>
          <w:rFonts w:ascii="Times New Roman" w:hAnsi="Times New Roman" w:cs="Times New Roman"/>
          <w:b/>
          <w:sz w:val="24"/>
          <w:szCs w:val="24"/>
        </w:rPr>
        <w:t>оценки качества финансового менеджмента главн</w:t>
      </w:r>
      <w:r w:rsidR="00FF201F">
        <w:rPr>
          <w:rFonts w:ascii="Times New Roman" w:hAnsi="Times New Roman" w:cs="Times New Roman"/>
          <w:b/>
          <w:sz w:val="24"/>
          <w:szCs w:val="24"/>
        </w:rPr>
        <w:t>ого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распорядител</w:t>
      </w:r>
      <w:r w:rsidR="00FF201F">
        <w:rPr>
          <w:rFonts w:ascii="Times New Roman" w:hAnsi="Times New Roman" w:cs="Times New Roman"/>
          <w:b/>
          <w:sz w:val="24"/>
          <w:szCs w:val="24"/>
        </w:rPr>
        <w:t>я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</w:t>
      </w:r>
      <w:proofErr w:type="gramEnd"/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776205">
        <w:rPr>
          <w:rFonts w:ascii="Times New Roman" w:hAnsi="Times New Roman" w:cs="Times New Roman"/>
          <w:b/>
          <w:sz w:val="24"/>
          <w:szCs w:val="24"/>
        </w:rPr>
        <w:t>«</w:t>
      </w:r>
      <w:r w:rsidR="003848C8">
        <w:rPr>
          <w:rFonts w:ascii="Times New Roman" w:hAnsi="Times New Roman" w:cs="Times New Roman"/>
          <w:b/>
          <w:sz w:val="24"/>
          <w:szCs w:val="24"/>
        </w:rPr>
        <w:t xml:space="preserve">Никольское </w:t>
      </w:r>
      <w:r w:rsidR="003E21C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="00470E79">
        <w:rPr>
          <w:rFonts w:ascii="Times New Roman" w:hAnsi="Times New Roman" w:cs="Times New Roman"/>
          <w:b/>
          <w:sz w:val="24"/>
          <w:szCs w:val="24"/>
        </w:rPr>
        <w:t>Подпорожск</w:t>
      </w:r>
      <w:r w:rsidR="003E21CE">
        <w:rPr>
          <w:rFonts w:ascii="Times New Roman" w:hAnsi="Times New Roman" w:cs="Times New Roman"/>
          <w:b/>
          <w:sz w:val="24"/>
          <w:szCs w:val="24"/>
        </w:rPr>
        <w:t>ого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3E21CE">
        <w:rPr>
          <w:rFonts w:ascii="Times New Roman" w:hAnsi="Times New Roman" w:cs="Times New Roman"/>
          <w:b/>
          <w:sz w:val="24"/>
          <w:szCs w:val="24"/>
        </w:rPr>
        <w:t>ого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E21CE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776205">
        <w:rPr>
          <w:rFonts w:ascii="Times New Roman" w:hAnsi="Times New Roman" w:cs="Times New Roman"/>
          <w:b/>
          <w:sz w:val="24"/>
          <w:szCs w:val="24"/>
        </w:rPr>
        <w:t>»</w:t>
      </w:r>
      <w:r w:rsidR="000B661C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A0674">
        <w:rPr>
          <w:rFonts w:ascii="Times New Roman" w:hAnsi="Times New Roman" w:cs="Times New Roman"/>
          <w:b/>
          <w:sz w:val="24"/>
          <w:szCs w:val="24"/>
        </w:rPr>
        <w:t>2</w:t>
      </w:r>
      <w:r w:rsidR="00FF201F">
        <w:rPr>
          <w:rFonts w:ascii="Times New Roman" w:hAnsi="Times New Roman" w:cs="Times New Roman"/>
          <w:b/>
          <w:sz w:val="24"/>
          <w:szCs w:val="24"/>
        </w:rPr>
        <w:t>3</w:t>
      </w:r>
      <w:r w:rsidR="000B66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C7D" w:rsidRPr="003B0C7D">
        <w:rPr>
          <w:rFonts w:ascii="Times New Roman" w:hAnsi="Times New Roman" w:cs="Times New Roman"/>
          <w:b/>
          <w:sz w:val="24"/>
          <w:szCs w:val="24"/>
        </w:rPr>
        <w:t>.</w:t>
      </w:r>
    </w:p>
    <w:p w:rsidR="00FF201F" w:rsidRDefault="008B0A35" w:rsidP="004E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75" w:rsidRDefault="00252C75" w:rsidP="00F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201F" w:rsidRPr="00E474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проведения мониторинга оценки качества финансового менеджмента, осуществляемого главным администратором бюджетных средств муниципального образования Никольское городское поселение, утвержденного постановлением Администрации муниципального образования  «Никольское городское поселение Подпорожского </w:t>
      </w:r>
      <w:r w:rsidR="000E3E5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области» (далее – Администрация) финансово – экономическим отделом Администрации был проведен мониторинг </w:t>
      </w:r>
      <w:r w:rsidRPr="00E474EB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за 2023 год (далее – мониторинг качества).</w:t>
      </w:r>
      <w:proofErr w:type="gramEnd"/>
    </w:p>
    <w:p w:rsidR="000E3E59" w:rsidRDefault="000E3E59" w:rsidP="00252C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C75" w:rsidRDefault="00252C75" w:rsidP="00252C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1347F" w:rsidRPr="00E474EB">
        <w:rPr>
          <w:rFonts w:ascii="Times New Roman" w:hAnsi="Times New Roman" w:cs="Times New Roman"/>
          <w:sz w:val="24"/>
          <w:szCs w:val="24"/>
        </w:rPr>
        <w:t xml:space="preserve"> ка</w:t>
      </w:r>
      <w:r w:rsidR="00E474EB" w:rsidRPr="00E474EB">
        <w:rPr>
          <w:rFonts w:ascii="Times New Roman" w:hAnsi="Times New Roman" w:cs="Times New Roman"/>
          <w:sz w:val="24"/>
          <w:szCs w:val="24"/>
        </w:rPr>
        <w:t>чества осуществлялс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74EB" w:rsidRPr="00E474E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главному администратору бюджетных средств</w:t>
      </w:r>
      <w:r w:rsidR="00617C21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3E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ГАБС) -</w:t>
      </w:r>
      <w:r w:rsidR="003E21CE">
        <w:rPr>
          <w:rFonts w:ascii="Times New Roman" w:hAnsi="Times New Roman" w:cs="Times New Roman"/>
          <w:sz w:val="24"/>
          <w:szCs w:val="24"/>
        </w:rPr>
        <w:t xml:space="preserve"> </w:t>
      </w:r>
      <w:r w:rsidR="00E474EB" w:rsidRPr="00E474EB">
        <w:rPr>
          <w:rFonts w:ascii="Times New Roman" w:hAnsi="Times New Roman" w:cs="Times New Roman"/>
          <w:sz w:val="24"/>
          <w:szCs w:val="24"/>
        </w:rPr>
        <w:t xml:space="preserve"> </w:t>
      </w:r>
      <w:r w:rsidR="00E474EB" w:rsidRPr="000E3E5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74EB" w:rsidRPr="00E47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59" w:rsidRDefault="000E3E59" w:rsidP="00252C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47F" w:rsidRPr="000E3E59" w:rsidRDefault="00E1347F" w:rsidP="000E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E59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проведения </w:t>
      </w:r>
      <w:r w:rsidR="00617C21" w:rsidRPr="000E3E59">
        <w:rPr>
          <w:rFonts w:ascii="Times New Roman" w:hAnsi="Times New Roman" w:cs="Times New Roman"/>
          <w:sz w:val="24"/>
          <w:szCs w:val="24"/>
        </w:rPr>
        <w:t>мониторинга</w:t>
      </w:r>
      <w:r w:rsidRPr="000E3E59">
        <w:rPr>
          <w:rFonts w:ascii="Times New Roman" w:hAnsi="Times New Roman" w:cs="Times New Roman"/>
          <w:sz w:val="24"/>
          <w:szCs w:val="24"/>
        </w:rPr>
        <w:t xml:space="preserve"> качества использовались </w:t>
      </w:r>
      <w:r w:rsidR="000E3E59" w:rsidRPr="000E3E59">
        <w:rPr>
          <w:rFonts w:ascii="Times New Roman" w:hAnsi="Times New Roman"/>
          <w:sz w:val="24"/>
          <w:szCs w:val="24"/>
        </w:rPr>
        <w:t xml:space="preserve">данные бюджетной отчетности, </w:t>
      </w:r>
      <w:r w:rsidRPr="000E3E59">
        <w:rPr>
          <w:rFonts w:ascii="Times New Roman" w:hAnsi="Times New Roman" w:cs="Times New Roman"/>
          <w:sz w:val="24"/>
          <w:szCs w:val="24"/>
        </w:rPr>
        <w:t>материалы, представленные структурными подразделениями</w:t>
      </w:r>
      <w:r w:rsidR="003848C8" w:rsidRPr="000E3E59">
        <w:rPr>
          <w:rFonts w:ascii="Times New Roman" w:hAnsi="Times New Roman" w:cs="Times New Roman"/>
          <w:sz w:val="24"/>
          <w:szCs w:val="24"/>
        </w:rPr>
        <w:t xml:space="preserve"> </w:t>
      </w:r>
      <w:r w:rsidR="004E656C" w:rsidRPr="000E3E59">
        <w:rPr>
          <w:rFonts w:ascii="Times New Roman" w:hAnsi="Times New Roman" w:cs="Times New Roman"/>
          <w:sz w:val="24"/>
          <w:szCs w:val="24"/>
        </w:rPr>
        <w:t>Администрации</w:t>
      </w:r>
      <w:r w:rsidR="000E3E59" w:rsidRPr="000E3E59">
        <w:rPr>
          <w:rFonts w:ascii="Times New Roman" w:hAnsi="Times New Roman"/>
          <w:sz w:val="24"/>
          <w:szCs w:val="24"/>
        </w:rPr>
        <w:t>, общедоступные (размещенные на официальных сайтах в информационно-телекоммуникационной сети "Интернет") сведения.</w:t>
      </w:r>
    </w:p>
    <w:p w:rsidR="006605C2" w:rsidRPr="00E474EB" w:rsidRDefault="006605C2" w:rsidP="00252C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47F" w:rsidRPr="00E474EB" w:rsidRDefault="00E1347F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4EB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617C21">
        <w:rPr>
          <w:rFonts w:ascii="Times New Roman" w:hAnsi="Times New Roman" w:cs="Times New Roman"/>
          <w:sz w:val="24"/>
          <w:szCs w:val="24"/>
        </w:rPr>
        <w:t>мониторинга</w:t>
      </w:r>
      <w:r w:rsidR="00915104">
        <w:rPr>
          <w:rFonts w:ascii="Times New Roman" w:hAnsi="Times New Roman" w:cs="Times New Roman"/>
          <w:sz w:val="24"/>
          <w:szCs w:val="24"/>
        </w:rPr>
        <w:t xml:space="preserve"> качества оценивало</w:t>
      </w:r>
      <w:r w:rsidRPr="00E474EB">
        <w:rPr>
          <w:rFonts w:ascii="Times New Roman" w:hAnsi="Times New Roman" w:cs="Times New Roman"/>
          <w:sz w:val="24"/>
          <w:szCs w:val="24"/>
        </w:rPr>
        <w:t>сь: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sub_1205"/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качество планирования и обоснования бюджетных ассигнований;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качество исполнения бюджета;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качество управления обязательствами в процессе исполнения бюджета;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достоверность бюджетной и бухгалтерской отчетности, качество ведения учета и отчетности;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качество управления активами;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качество осуществления закупок товаров, работ и услуг для обеспечения муниципальных нужд;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прозрачность бюджетного процесса;</w:t>
      </w:r>
    </w:p>
    <w:p w:rsidR="00617C21" w:rsidRP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организация системы контроля;</w:t>
      </w:r>
    </w:p>
    <w:p w:rsidR="00617C21" w:rsidRDefault="00617C21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7C21">
        <w:rPr>
          <w:rFonts w:ascii="Times New Roman" w:hAnsi="Times New Roman"/>
          <w:sz w:val="24"/>
          <w:szCs w:val="24"/>
        </w:rPr>
        <w:t xml:space="preserve"> качество выполнения функций и полномочий учредителя муниципальных учреждений.</w:t>
      </w:r>
    </w:p>
    <w:p w:rsidR="006605C2" w:rsidRPr="00617C21" w:rsidRDefault="006605C2" w:rsidP="00617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A9136E" w:rsidRPr="001007C7" w:rsidRDefault="00E4402A" w:rsidP="00E47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B3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17C2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7493F">
        <w:rPr>
          <w:rFonts w:ascii="Times New Roman" w:hAnsi="Times New Roman" w:cs="Times New Roman"/>
          <w:sz w:val="24"/>
          <w:szCs w:val="24"/>
          <w:u w:val="single"/>
        </w:rPr>
        <w:t>ачеств</w:t>
      </w:r>
      <w:r w:rsidR="00617C2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7493F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планирования </w:t>
      </w:r>
      <w:r w:rsidR="00655CDA">
        <w:rPr>
          <w:rFonts w:ascii="Times New Roman" w:hAnsi="Times New Roman" w:cs="Times New Roman"/>
          <w:sz w:val="24"/>
          <w:szCs w:val="24"/>
          <w:u w:val="single"/>
        </w:rPr>
        <w:t xml:space="preserve">и обоснования бюджетных ассигнований </w:t>
      </w:r>
      <w:r w:rsidR="00E1347F" w:rsidRPr="001007C7">
        <w:rPr>
          <w:rFonts w:ascii="Times New Roman" w:hAnsi="Times New Roman" w:cs="Times New Roman"/>
          <w:sz w:val="24"/>
          <w:szCs w:val="24"/>
        </w:rPr>
        <w:t>оценивал</w:t>
      </w:r>
      <w:r w:rsidR="00617C21" w:rsidRPr="001007C7">
        <w:rPr>
          <w:rFonts w:ascii="Times New Roman" w:hAnsi="Times New Roman" w:cs="Times New Roman"/>
          <w:sz w:val="24"/>
          <w:szCs w:val="24"/>
        </w:rPr>
        <w:t>о</w:t>
      </w:r>
      <w:r w:rsidR="00E1347F" w:rsidRPr="001007C7">
        <w:rPr>
          <w:rFonts w:ascii="Times New Roman" w:hAnsi="Times New Roman" w:cs="Times New Roman"/>
          <w:sz w:val="24"/>
          <w:szCs w:val="24"/>
        </w:rPr>
        <w:t>сь по следующим показателям:</w:t>
      </w:r>
    </w:p>
    <w:p w:rsidR="0035311C" w:rsidRDefault="00B92DC4" w:rsidP="0035311C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311C">
        <w:rPr>
          <w:rFonts w:ascii="Times New Roman" w:hAnsi="Times New Roman" w:cs="Times New Roman"/>
          <w:sz w:val="24"/>
          <w:szCs w:val="24"/>
        </w:rPr>
        <w:t xml:space="preserve">1) </w:t>
      </w:r>
      <w:r w:rsidR="0035311C" w:rsidRPr="0035311C">
        <w:rPr>
          <w:rFonts w:ascii="Times New Roman" w:hAnsi="Times New Roman"/>
          <w:sz w:val="24"/>
          <w:szCs w:val="24"/>
        </w:rPr>
        <w:t>Оценка качества планирования бюджетных ассигнований</w:t>
      </w:r>
      <w:r w:rsidR="00C613DE" w:rsidRPr="0035311C">
        <w:rPr>
          <w:rFonts w:ascii="Times New Roman" w:hAnsi="Times New Roman" w:cs="Times New Roman"/>
          <w:sz w:val="24"/>
          <w:szCs w:val="24"/>
        </w:rPr>
        <w:t>.</w:t>
      </w:r>
    </w:p>
    <w:p w:rsidR="001D62C2" w:rsidRDefault="001007C7" w:rsidP="001D62C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11C">
        <w:rPr>
          <w:rFonts w:ascii="Times New Roman" w:hAnsi="Times New Roman" w:cs="Times New Roman"/>
          <w:sz w:val="24"/>
          <w:szCs w:val="24"/>
        </w:rPr>
        <w:t xml:space="preserve">Объем отклонений бюджетных ассигнований на конец отчетного периода по отношению к объему бюджетных ассигнований на начало отчетного периода составил </w:t>
      </w:r>
      <w:r w:rsidR="001D62C2">
        <w:rPr>
          <w:rFonts w:ascii="Times New Roman" w:hAnsi="Times New Roman" w:cs="Times New Roman"/>
          <w:sz w:val="24"/>
          <w:szCs w:val="24"/>
        </w:rPr>
        <w:t>33,7%.</w:t>
      </w:r>
      <w:r w:rsidR="0035311C">
        <w:rPr>
          <w:rFonts w:ascii="Times New Roman" w:hAnsi="Times New Roman" w:cs="Times New Roman"/>
          <w:sz w:val="24"/>
          <w:szCs w:val="24"/>
        </w:rPr>
        <w:t xml:space="preserve"> </w:t>
      </w:r>
      <w:r w:rsidR="001D62C2">
        <w:rPr>
          <w:rFonts w:ascii="Times New Roman" w:hAnsi="Times New Roman" w:cs="Times New Roman"/>
          <w:sz w:val="24"/>
          <w:szCs w:val="24"/>
        </w:rPr>
        <w:t>О</w:t>
      </w:r>
      <w:r w:rsidR="001D62C2" w:rsidRPr="000C0A85">
        <w:rPr>
          <w:rFonts w:ascii="Times New Roman" w:hAnsi="Times New Roman" w:cs="Times New Roman"/>
          <w:sz w:val="24"/>
          <w:szCs w:val="24"/>
        </w:rPr>
        <w:t>бъем бюджетных ассигнований на конец отчетного периода увеличился на 14 430,9 тыс</w:t>
      </w:r>
      <w:proofErr w:type="gramStart"/>
      <w:r w:rsidR="001D62C2" w:rsidRPr="000C0A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62C2" w:rsidRPr="000C0A85">
        <w:rPr>
          <w:rFonts w:ascii="Times New Roman" w:hAnsi="Times New Roman" w:cs="Times New Roman"/>
          <w:sz w:val="24"/>
          <w:szCs w:val="24"/>
        </w:rPr>
        <w:t xml:space="preserve">уб., в связи с выделением дополнительных средств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D62C2" w:rsidRPr="000C0A8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2C2" w:rsidRPr="0035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85" w:rsidRDefault="001D62C2" w:rsidP="001D62C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11C" w:rsidRPr="0035311C">
        <w:rPr>
          <w:rFonts w:ascii="Times New Roman" w:hAnsi="Times New Roman" w:cs="Times New Roman"/>
          <w:sz w:val="24"/>
          <w:szCs w:val="24"/>
        </w:rPr>
        <w:t xml:space="preserve">2) </w:t>
      </w:r>
      <w:r w:rsidR="0035311C" w:rsidRPr="0035311C">
        <w:rPr>
          <w:rFonts w:ascii="Times New Roman" w:hAnsi="Times New Roman"/>
          <w:sz w:val="24"/>
          <w:szCs w:val="24"/>
        </w:rPr>
        <w:t>Нарушение требований к формированию и представлению информации и документов, необходимых для составления и (или) изменения проекта бюджета</w:t>
      </w:r>
      <w:r w:rsidR="000C0A85" w:rsidRPr="0035311C">
        <w:rPr>
          <w:rFonts w:ascii="Times New Roman" w:hAnsi="Times New Roman" w:cs="Times New Roman"/>
          <w:sz w:val="24"/>
          <w:szCs w:val="24"/>
        </w:rPr>
        <w:t>.</w:t>
      </w:r>
    </w:p>
    <w:p w:rsidR="0035311C" w:rsidRDefault="0035311C" w:rsidP="000C0A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DC4">
        <w:rPr>
          <w:rFonts w:ascii="Times New Roman" w:hAnsi="Times New Roman" w:cs="Times New Roman"/>
          <w:sz w:val="24"/>
          <w:szCs w:val="24"/>
        </w:rPr>
        <w:t>Все документы представлены в установленные сроки.</w:t>
      </w:r>
    </w:p>
    <w:p w:rsidR="0035311C" w:rsidRDefault="0035311C" w:rsidP="000C0A8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311C">
        <w:rPr>
          <w:rFonts w:ascii="Times New Roman" w:hAnsi="Times New Roman" w:cs="Times New Roman"/>
          <w:sz w:val="24"/>
          <w:szCs w:val="24"/>
        </w:rPr>
        <w:t xml:space="preserve">3) </w:t>
      </w:r>
      <w:r w:rsidRPr="0035311C">
        <w:rPr>
          <w:rFonts w:ascii="Times New Roman" w:hAnsi="Times New Roman"/>
          <w:sz w:val="24"/>
          <w:szCs w:val="24"/>
        </w:rPr>
        <w:t>Несоблюдение правил планирования закупок ГАБС и (или) подведомственными ему муниципальными учреждениями.</w:t>
      </w:r>
    </w:p>
    <w:p w:rsidR="00171C6C" w:rsidRPr="0035311C" w:rsidRDefault="00171C6C" w:rsidP="00171C6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фактов несоблюдения правил планирования закупок</w:t>
      </w:r>
      <w:proofErr w:type="gramEnd"/>
      <w:r w:rsidR="001007C7"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35311C" w:rsidRDefault="0035311C" w:rsidP="000C0A8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5311C" w:rsidRDefault="0035311C" w:rsidP="001D62C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1C6C">
        <w:rPr>
          <w:rFonts w:ascii="Times New Roman" w:hAnsi="Times New Roman"/>
          <w:sz w:val="24"/>
          <w:szCs w:val="24"/>
          <w:u w:val="single"/>
        </w:rPr>
        <w:t>2. Качество исполнения бюджета</w:t>
      </w:r>
      <w:r w:rsidR="00171C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1C6C" w:rsidRPr="00171C6C">
        <w:rPr>
          <w:rFonts w:ascii="Times New Roman" w:hAnsi="Times New Roman"/>
          <w:sz w:val="24"/>
          <w:szCs w:val="24"/>
        </w:rPr>
        <w:t>о</w:t>
      </w:r>
      <w:r w:rsidR="00171C6C">
        <w:rPr>
          <w:rFonts w:ascii="Times New Roman" w:hAnsi="Times New Roman"/>
          <w:sz w:val="24"/>
          <w:szCs w:val="24"/>
        </w:rPr>
        <w:t>ценивалось по следующим показателям:</w:t>
      </w:r>
    </w:p>
    <w:p w:rsidR="0035311C" w:rsidRDefault="0035311C" w:rsidP="001D62C2">
      <w:pPr>
        <w:pStyle w:val="aa"/>
        <w:jc w:val="both"/>
        <w:rPr>
          <w:rFonts w:ascii="Times New Roman" w:hAnsi="Times New Roman" w:hint="default"/>
          <w:szCs w:val="24"/>
        </w:rPr>
      </w:pPr>
      <w:r w:rsidRPr="00171C6C">
        <w:rPr>
          <w:rFonts w:ascii="Times New Roman" w:hAnsi="Times New Roman" w:hint="default"/>
          <w:szCs w:val="24"/>
        </w:rPr>
        <w:tab/>
      </w:r>
      <w:r w:rsidRPr="00171C6C">
        <w:rPr>
          <w:rFonts w:ascii="Times New Roman" w:hAnsi="Times New Roman"/>
          <w:szCs w:val="24"/>
        </w:rPr>
        <w:t xml:space="preserve">4) </w:t>
      </w:r>
      <w:r w:rsidRPr="00171C6C">
        <w:rPr>
          <w:rFonts w:ascii="Times New Roman" w:hAnsi="Times New Roman" w:hint="default"/>
          <w:szCs w:val="24"/>
        </w:rPr>
        <w:t>Уровень исполнения прогноза кассовых выплат за отчетный период</w:t>
      </w:r>
      <w:r w:rsidR="00171C6C">
        <w:rPr>
          <w:rFonts w:ascii="Times New Roman" w:hAnsi="Times New Roman" w:hint="default"/>
          <w:szCs w:val="24"/>
        </w:rPr>
        <w:t xml:space="preserve"> составил </w:t>
      </w:r>
      <w:r w:rsidR="001D62C2">
        <w:rPr>
          <w:rFonts w:ascii="Times New Roman" w:hAnsi="Times New Roman"/>
          <w:szCs w:val="24"/>
        </w:rPr>
        <w:lastRenderedPageBreak/>
        <w:t>92,3</w:t>
      </w:r>
      <w:r w:rsidR="00171C6C">
        <w:rPr>
          <w:rFonts w:ascii="Times New Roman" w:hAnsi="Times New Roman" w:hint="default"/>
          <w:szCs w:val="24"/>
        </w:rPr>
        <w:t>%.</w:t>
      </w:r>
    </w:p>
    <w:p w:rsidR="00171C6C" w:rsidRDefault="00171C6C" w:rsidP="001D62C2">
      <w:pPr>
        <w:pStyle w:val="aa"/>
        <w:jc w:val="both"/>
        <w:rPr>
          <w:rFonts w:ascii="Times New Roman" w:hAnsi="Times New Roman" w:hint="default"/>
          <w:szCs w:val="24"/>
        </w:rPr>
      </w:pPr>
      <w:r>
        <w:tab/>
      </w:r>
      <w:r w:rsidRPr="00171C6C">
        <w:rPr>
          <w:rFonts w:ascii="Times New Roman" w:hAnsi="Times New Roman" w:hint="default"/>
          <w:szCs w:val="24"/>
        </w:rPr>
        <w:t xml:space="preserve">5) Процент использования  доведенных лимитов бюджетных обязательств за 2023 год составил </w:t>
      </w:r>
      <w:r w:rsidR="001D62C2">
        <w:rPr>
          <w:rFonts w:ascii="Times New Roman" w:hAnsi="Times New Roman"/>
          <w:szCs w:val="24"/>
        </w:rPr>
        <w:t>92,3</w:t>
      </w:r>
      <w:r w:rsidRPr="00171C6C">
        <w:rPr>
          <w:rFonts w:ascii="Times New Roman" w:hAnsi="Times New Roman" w:hint="default"/>
          <w:szCs w:val="24"/>
        </w:rPr>
        <w:t>%.</w:t>
      </w:r>
    </w:p>
    <w:p w:rsidR="00171C6C" w:rsidRDefault="00171C6C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171C6C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171C6C">
        <w:rPr>
          <w:rFonts w:ascii="Times New Roman" w:hAnsi="Times New Roman" w:cs="Times New Roman"/>
          <w:sz w:val="24"/>
          <w:szCs w:val="24"/>
        </w:rPr>
        <w:t xml:space="preserve"> Доля неисполненных на конец отчетного периода плановых назначений по доходам составила менее 5%.</w:t>
      </w:r>
    </w:p>
    <w:p w:rsidR="00CE4E55" w:rsidRPr="008158EB" w:rsidRDefault="00CE4E55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 w:rsidRPr="00CE4E55">
        <w:rPr>
          <w:rFonts w:ascii="Times New Roman" w:hAnsi="Times New Roman"/>
        </w:rPr>
        <w:t xml:space="preserve"> </w:t>
      </w:r>
      <w:r w:rsidRPr="008158EB">
        <w:rPr>
          <w:rFonts w:ascii="Times New Roman" w:hAnsi="Times New Roman"/>
          <w:sz w:val="24"/>
          <w:szCs w:val="24"/>
        </w:rPr>
        <w:t>Динамика поступления доходов по сравнению с периодом, предшествующим отчетному.</w:t>
      </w:r>
    </w:p>
    <w:p w:rsidR="00CE4E55" w:rsidRDefault="001007C7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4E55" w:rsidRPr="008158EB">
        <w:rPr>
          <w:rFonts w:ascii="Times New Roman" w:hAnsi="Times New Roman"/>
          <w:sz w:val="24"/>
          <w:szCs w:val="24"/>
        </w:rPr>
        <w:t>Рост фактических поступлений налоговых и неналоговых доходов за 2023 год по сравнению с 2022 годом составил 22,1%.</w:t>
      </w:r>
    </w:p>
    <w:p w:rsidR="001007C7" w:rsidRPr="008158EB" w:rsidRDefault="001007C7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E55" w:rsidRDefault="00CE4E55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CE4E55">
        <w:rPr>
          <w:rFonts w:ascii="Times New Roman" w:hAnsi="Times New Roman"/>
          <w:sz w:val="24"/>
          <w:szCs w:val="24"/>
        </w:rPr>
        <w:t xml:space="preserve">3. </w:t>
      </w:r>
      <w:r w:rsidRPr="00CE4E55">
        <w:rPr>
          <w:rFonts w:ascii="Times New Roman" w:hAnsi="Times New Roman"/>
          <w:sz w:val="24"/>
          <w:szCs w:val="24"/>
          <w:u w:val="single"/>
        </w:rPr>
        <w:t xml:space="preserve">Качество управления обязательствами в процессе исполнения бюджета </w:t>
      </w:r>
      <w:r w:rsidRPr="00CE4E55">
        <w:rPr>
          <w:rFonts w:ascii="Times New Roman" w:hAnsi="Times New Roman"/>
          <w:sz w:val="24"/>
          <w:szCs w:val="24"/>
        </w:rPr>
        <w:t>оценивалось по следующим показателям:</w:t>
      </w:r>
    </w:p>
    <w:p w:rsidR="00CE4E55" w:rsidRPr="00E852A0" w:rsidRDefault="00CE4E55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52A0">
        <w:rPr>
          <w:rFonts w:ascii="Times New Roman" w:hAnsi="Times New Roman"/>
          <w:sz w:val="24"/>
          <w:szCs w:val="24"/>
        </w:rPr>
        <w:t>8) Управление кредиторской задолженностью.</w:t>
      </w:r>
    </w:p>
    <w:p w:rsidR="00CE4E55" w:rsidRPr="00E852A0" w:rsidRDefault="00CE4E55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2A0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за отчетный год отсутствует.</w:t>
      </w:r>
    </w:p>
    <w:p w:rsidR="00CE4E55" w:rsidRPr="00E852A0" w:rsidRDefault="00CE4E55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2A0">
        <w:rPr>
          <w:rFonts w:ascii="Times New Roman" w:hAnsi="Times New Roman" w:cs="Times New Roman"/>
          <w:sz w:val="24"/>
          <w:szCs w:val="24"/>
          <w:lang w:eastAsia="ru-RU"/>
        </w:rPr>
        <w:tab/>
        <w:t>9)</w:t>
      </w:r>
      <w:r w:rsidRPr="00E852A0">
        <w:rPr>
          <w:rFonts w:ascii="Times New Roman" w:hAnsi="Times New Roman"/>
          <w:sz w:val="24"/>
          <w:szCs w:val="24"/>
        </w:rPr>
        <w:t xml:space="preserve"> Управление дебиторской задолженностью.</w:t>
      </w:r>
    </w:p>
    <w:p w:rsidR="00CE4E55" w:rsidRPr="00E852A0" w:rsidRDefault="00CE4E55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A0">
        <w:rPr>
          <w:rFonts w:ascii="Times New Roman" w:hAnsi="Times New Roman" w:cs="Times New Roman"/>
          <w:sz w:val="24"/>
          <w:szCs w:val="24"/>
        </w:rPr>
        <w:t>Просроченная дебиторская задолженность за отчетный год отсутствует.</w:t>
      </w:r>
    </w:p>
    <w:p w:rsidR="00D934CE" w:rsidRDefault="00D934CE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CE" w:rsidRPr="00D934CE" w:rsidRDefault="00D934CE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4CE">
        <w:rPr>
          <w:rFonts w:ascii="Times New Roman" w:hAnsi="Times New Roman" w:cs="Times New Roman"/>
          <w:sz w:val="24"/>
          <w:szCs w:val="24"/>
        </w:rPr>
        <w:t xml:space="preserve">4. </w:t>
      </w:r>
      <w:r w:rsidRPr="00D934CE">
        <w:rPr>
          <w:rFonts w:ascii="Times New Roman" w:hAnsi="Times New Roman"/>
          <w:sz w:val="24"/>
          <w:szCs w:val="24"/>
          <w:u w:val="single"/>
        </w:rPr>
        <w:t>Достоверность бюджетной и бухгалтерской отчетности, качество ведения учета и отчетности</w:t>
      </w:r>
      <w:r w:rsidR="001007C7">
        <w:rPr>
          <w:rFonts w:ascii="Times New Roman" w:hAnsi="Times New Roman"/>
          <w:sz w:val="24"/>
          <w:szCs w:val="24"/>
        </w:rPr>
        <w:t xml:space="preserve"> оценивала</w:t>
      </w:r>
      <w:r w:rsidRPr="00D934CE">
        <w:rPr>
          <w:rFonts w:ascii="Times New Roman" w:hAnsi="Times New Roman"/>
          <w:sz w:val="24"/>
          <w:szCs w:val="24"/>
        </w:rPr>
        <w:t>сь по следующим показателям:</w:t>
      </w:r>
    </w:p>
    <w:p w:rsidR="00D934CE" w:rsidRDefault="00D934CE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CE">
        <w:rPr>
          <w:rFonts w:ascii="Times New Roman" w:hAnsi="Times New Roman"/>
          <w:sz w:val="24"/>
          <w:szCs w:val="24"/>
        </w:rPr>
        <w:tab/>
        <w:t>10) Соблюдение сроков представления отчетности.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4CE" w:rsidRPr="00E474EB" w:rsidRDefault="00D934CE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Отчетность представлена с н</w:t>
      </w:r>
      <w:r w:rsidRPr="00E474EB">
        <w:rPr>
          <w:rFonts w:ascii="Times New Roman" w:hAnsi="Times New Roman" w:cs="Times New Roman"/>
          <w:sz w:val="24"/>
          <w:szCs w:val="24"/>
        </w:rPr>
        <w:t>арушением сроко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07C7">
        <w:rPr>
          <w:rFonts w:ascii="Times New Roman" w:hAnsi="Times New Roman" w:cs="Times New Roman"/>
          <w:sz w:val="24"/>
          <w:szCs w:val="24"/>
        </w:rPr>
        <w:t xml:space="preserve"> на 2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C6C" w:rsidRDefault="00D934CE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D934CE"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D934CE">
        <w:rPr>
          <w:rFonts w:ascii="Times New Roman" w:hAnsi="Times New Roman" w:cs="Times New Roman"/>
          <w:sz w:val="24"/>
          <w:szCs w:val="24"/>
        </w:rPr>
        <w:t xml:space="preserve"> Нарушение установленных требований к составлению и представлению отчетности ГАБС и подведомственных муниципальных учреждений.</w:t>
      </w:r>
    </w:p>
    <w:p w:rsidR="00D934CE" w:rsidRDefault="001007C7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4CE">
        <w:rPr>
          <w:rFonts w:ascii="Times New Roman" w:hAnsi="Times New Roman" w:cs="Times New Roman"/>
          <w:sz w:val="24"/>
          <w:szCs w:val="24"/>
        </w:rPr>
        <w:t>Нарушения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CE">
        <w:rPr>
          <w:rFonts w:ascii="Times New Roman" w:hAnsi="Times New Roman" w:cs="Times New Roman"/>
          <w:sz w:val="24"/>
          <w:szCs w:val="24"/>
        </w:rPr>
        <w:t xml:space="preserve"> устранены в ходе предварительной проверки.</w:t>
      </w:r>
    </w:p>
    <w:p w:rsidR="00D934CE" w:rsidRDefault="00D934CE" w:rsidP="00D9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CE" w:rsidRPr="00D934CE" w:rsidRDefault="00D934CE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4CE">
        <w:rPr>
          <w:rFonts w:ascii="Times New Roman" w:hAnsi="Times New Roman" w:cs="Times New Roman"/>
          <w:sz w:val="24"/>
          <w:szCs w:val="24"/>
        </w:rPr>
        <w:t xml:space="preserve">5. </w:t>
      </w:r>
      <w:r w:rsidRPr="00D934CE">
        <w:rPr>
          <w:rFonts w:ascii="Times New Roman" w:hAnsi="Times New Roman" w:cs="Times New Roman"/>
          <w:sz w:val="24"/>
          <w:szCs w:val="24"/>
          <w:u w:val="single"/>
        </w:rPr>
        <w:t>Качество управления акти</w:t>
      </w:r>
      <w:r w:rsidRPr="00D934CE">
        <w:rPr>
          <w:rFonts w:ascii="Times New Roman" w:hAnsi="Times New Roman" w:cs="Times New Roman"/>
          <w:sz w:val="24"/>
          <w:szCs w:val="24"/>
        </w:rPr>
        <w:t>вами оценивалось по следующим показателям:</w:t>
      </w:r>
    </w:p>
    <w:p w:rsidR="00D934CE" w:rsidRPr="00D934CE" w:rsidRDefault="00D934CE" w:rsidP="001D62C2">
      <w:pPr>
        <w:pStyle w:val="aa"/>
        <w:jc w:val="both"/>
        <w:rPr>
          <w:rFonts w:ascii="Times New Roman" w:hAnsi="Times New Roman" w:hint="default"/>
          <w:szCs w:val="24"/>
        </w:rPr>
      </w:pPr>
      <w:r>
        <w:rPr>
          <w:rFonts w:ascii="Times New Roman" w:hAnsi="Times New Roman" w:hint="default"/>
          <w:szCs w:val="24"/>
        </w:rPr>
        <w:tab/>
      </w:r>
      <w:r w:rsidRPr="00D934CE">
        <w:rPr>
          <w:rFonts w:ascii="Times New Roman" w:hAnsi="Times New Roman" w:hint="default"/>
          <w:szCs w:val="24"/>
        </w:rPr>
        <w:t>12) Проведение инвентаризации активов и обязательств.</w:t>
      </w:r>
    </w:p>
    <w:p w:rsidR="00D934CE" w:rsidRDefault="001007C7" w:rsidP="001D62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34CE" w:rsidRPr="00D934CE">
        <w:rPr>
          <w:rFonts w:ascii="Times New Roman" w:hAnsi="Times New Roman" w:cs="Times New Roman"/>
          <w:sz w:val="24"/>
          <w:szCs w:val="24"/>
          <w:lang w:eastAsia="ru-RU"/>
        </w:rPr>
        <w:t>Инвентаризация за отчетный период проведена</w:t>
      </w:r>
      <w:r w:rsidR="00D934CE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сроки, документы составлены надлежащим образом.</w:t>
      </w:r>
    </w:p>
    <w:p w:rsidR="00D934CE" w:rsidRDefault="00D934CE" w:rsidP="001D6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4CE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D934CE">
        <w:rPr>
          <w:rFonts w:ascii="Times New Roman" w:hAnsi="Times New Roman"/>
          <w:sz w:val="24"/>
          <w:szCs w:val="24"/>
        </w:rPr>
        <w:t>Недостачи и хищения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D934CE" w:rsidRDefault="001007C7" w:rsidP="001D6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34CE">
        <w:rPr>
          <w:rFonts w:ascii="Times New Roman" w:hAnsi="Times New Roman"/>
          <w:sz w:val="24"/>
          <w:szCs w:val="24"/>
        </w:rPr>
        <w:t>Недостач и хищений муниципальной собственности в отчетном периоде не выявлено.</w:t>
      </w:r>
    </w:p>
    <w:p w:rsidR="00D934CE" w:rsidRDefault="00D934CE" w:rsidP="00D934CE">
      <w:pPr>
        <w:spacing w:after="0"/>
        <w:rPr>
          <w:rFonts w:ascii="Times New Roman" w:hAnsi="Times New Roman"/>
          <w:sz w:val="24"/>
          <w:szCs w:val="24"/>
        </w:rPr>
      </w:pPr>
    </w:p>
    <w:p w:rsidR="00D934CE" w:rsidRPr="00D934CE" w:rsidRDefault="00D934CE" w:rsidP="001D6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34CE">
        <w:rPr>
          <w:rFonts w:ascii="Times New Roman" w:hAnsi="Times New Roman"/>
          <w:sz w:val="24"/>
          <w:szCs w:val="24"/>
        </w:rPr>
        <w:t xml:space="preserve">6. </w:t>
      </w:r>
      <w:r w:rsidRPr="001D62C2">
        <w:rPr>
          <w:rFonts w:ascii="Times New Roman" w:hAnsi="Times New Roman"/>
          <w:sz w:val="24"/>
          <w:szCs w:val="24"/>
          <w:u w:val="single"/>
        </w:rPr>
        <w:t xml:space="preserve">Качество осуществления закупок товаров, работ и услуг для обеспечения </w:t>
      </w:r>
      <w:r w:rsidR="001007C7">
        <w:rPr>
          <w:rFonts w:ascii="Times New Roman" w:hAnsi="Times New Roman"/>
          <w:sz w:val="24"/>
          <w:szCs w:val="24"/>
          <w:u w:val="single"/>
        </w:rPr>
        <w:t>муниципальных</w:t>
      </w:r>
      <w:r w:rsidRPr="001D62C2">
        <w:rPr>
          <w:rFonts w:ascii="Times New Roman" w:hAnsi="Times New Roman"/>
          <w:sz w:val="24"/>
          <w:szCs w:val="24"/>
          <w:u w:val="single"/>
        </w:rPr>
        <w:t xml:space="preserve">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C7">
        <w:rPr>
          <w:rFonts w:ascii="Times New Roman" w:hAnsi="Times New Roman"/>
          <w:sz w:val="24"/>
          <w:szCs w:val="24"/>
        </w:rPr>
        <w:t>оценивалось</w:t>
      </w:r>
      <w:r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D934CE" w:rsidRPr="003B5C6F" w:rsidRDefault="00D934CE" w:rsidP="001D62C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34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B5C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14) </w:t>
      </w:r>
      <w:r w:rsidRPr="003B5C6F">
        <w:rPr>
          <w:rFonts w:ascii="Times New Roman" w:hAnsi="Times New Roman"/>
          <w:color w:val="000000" w:themeColor="text1"/>
          <w:sz w:val="24"/>
          <w:szCs w:val="24"/>
        </w:rPr>
        <w:t xml:space="preserve">Доля </w:t>
      </w:r>
      <w:proofErr w:type="gramStart"/>
      <w:r w:rsidRPr="003B5C6F">
        <w:rPr>
          <w:rFonts w:ascii="Times New Roman" w:hAnsi="Times New Roman"/>
          <w:color w:val="000000" w:themeColor="text1"/>
          <w:sz w:val="24"/>
          <w:szCs w:val="24"/>
        </w:rPr>
        <w:t>закупок, проведенных конкурентными способами в общем количестве осуществленных закупок</w:t>
      </w:r>
      <w:r w:rsidR="001D62C2" w:rsidRPr="003B5C6F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период составила</w:t>
      </w:r>
      <w:proofErr w:type="gramEnd"/>
      <w:r w:rsidR="001D62C2" w:rsidRPr="003B5C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5C6F" w:rsidRPr="003B5C6F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1D62C2" w:rsidRPr="003B5C6F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1D62C2" w:rsidRPr="003B5C6F" w:rsidRDefault="001D62C2" w:rsidP="001D62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C6F">
        <w:rPr>
          <w:rFonts w:ascii="Times New Roman" w:hAnsi="Times New Roman"/>
          <w:color w:val="000000" w:themeColor="text1"/>
          <w:sz w:val="24"/>
          <w:szCs w:val="24"/>
        </w:rPr>
        <w:tab/>
        <w:t xml:space="preserve">15) 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 составила </w:t>
      </w:r>
      <w:r w:rsidR="003B5C6F" w:rsidRPr="003B5C6F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3B5C6F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D934CE" w:rsidRDefault="00D934CE" w:rsidP="00D9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C2" w:rsidRPr="001D62C2" w:rsidRDefault="001D62C2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2C2">
        <w:rPr>
          <w:rFonts w:ascii="Times New Roman" w:hAnsi="Times New Roman" w:cs="Times New Roman"/>
          <w:sz w:val="24"/>
          <w:szCs w:val="24"/>
        </w:rPr>
        <w:t>7.</w:t>
      </w:r>
      <w:r w:rsidRPr="001D62C2">
        <w:rPr>
          <w:rFonts w:ascii="Times New Roman" w:hAnsi="Times New Roman"/>
          <w:sz w:val="24"/>
          <w:szCs w:val="24"/>
        </w:rPr>
        <w:t xml:space="preserve"> </w:t>
      </w:r>
      <w:r w:rsidRPr="001D62C2">
        <w:rPr>
          <w:rFonts w:ascii="Times New Roman" w:hAnsi="Times New Roman"/>
          <w:sz w:val="24"/>
          <w:szCs w:val="24"/>
          <w:u w:val="single"/>
        </w:rPr>
        <w:t>Прозрачность бюджетного процесса</w:t>
      </w:r>
      <w:r w:rsidRPr="001D62C2">
        <w:rPr>
          <w:rFonts w:ascii="Times New Roman" w:hAnsi="Times New Roman"/>
          <w:sz w:val="24"/>
          <w:szCs w:val="24"/>
        </w:rPr>
        <w:t xml:space="preserve"> оценивалась по показателю:</w:t>
      </w:r>
    </w:p>
    <w:p w:rsidR="001D62C2" w:rsidRPr="001D62C2" w:rsidRDefault="001D62C2" w:rsidP="001D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C2">
        <w:rPr>
          <w:rFonts w:ascii="Times New Roman" w:hAnsi="Times New Roman"/>
          <w:sz w:val="24"/>
          <w:szCs w:val="24"/>
        </w:rPr>
        <w:tab/>
        <w:t>16) Опубликование на сайте отчетности об исполнении бюджета ГАБС  за отчетный период (год, квартал).</w:t>
      </w:r>
    </w:p>
    <w:p w:rsidR="001D62C2" w:rsidRPr="001D62C2" w:rsidRDefault="001007C7" w:rsidP="001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62C2" w:rsidRPr="001D62C2">
        <w:rPr>
          <w:rFonts w:ascii="Times New Roman" w:hAnsi="Times New Roman"/>
          <w:sz w:val="24"/>
          <w:szCs w:val="24"/>
        </w:rPr>
        <w:t>Отчетность об исполнении бюджета ГАБС за 2023 год размешена на официальном сайте своевременно и в полном объеме.</w:t>
      </w:r>
    </w:p>
    <w:p w:rsidR="00D934CE" w:rsidRDefault="001D62C2" w:rsidP="00D934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D62C2" w:rsidRPr="008158EB" w:rsidRDefault="001D62C2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58EB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8158EB">
        <w:rPr>
          <w:rFonts w:ascii="Times New Roman" w:hAnsi="Times New Roman"/>
          <w:sz w:val="24"/>
          <w:szCs w:val="24"/>
        </w:rPr>
        <w:t xml:space="preserve"> </w:t>
      </w:r>
      <w:r w:rsidRPr="008158EB">
        <w:rPr>
          <w:rFonts w:ascii="Times New Roman" w:hAnsi="Times New Roman"/>
          <w:sz w:val="24"/>
          <w:szCs w:val="24"/>
          <w:u w:val="single"/>
        </w:rPr>
        <w:t>Организация системы контроля</w:t>
      </w:r>
      <w:r w:rsidR="001007C7">
        <w:rPr>
          <w:rFonts w:ascii="Times New Roman" w:hAnsi="Times New Roman"/>
          <w:sz w:val="24"/>
          <w:szCs w:val="24"/>
        </w:rPr>
        <w:t xml:space="preserve"> оценивала</w:t>
      </w:r>
      <w:r w:rsidR="008158EB" w:rsidRPr="008158EB">
        <w:rPr>
          <w:rFonts w:ascii="Times New Roman" w:hAnsi="Times New Roman"/>
          <w:sz w:val="24"/>
          <w:szCs w:val="24"/>
        </w:rPr>
        <w:t>сь по показателю:</w:t>
      </w: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8EB">
        <w:rPr>
          <w:rFonts w:ascii="Times New Roman" w:hAnsi="Times New Roman"/>
          <w:sz w:val="24"/>
          <w:szCs w:val="24"/>
        </w:rPr>
        <w:tab/>
        <w:t xml:space="preserve">17) Неправомерное использование бюджетных средств, в том числе нецелевое использование бюджетных средств. </w:t>
      </w: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Неправомерного использования бюджетных средств в отчетном периоде не выявлено.</w:t>
      </w:r>
    </w:p>
    <w:p w:rsidR="008158E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7C7" w:rsidRDefault="001007C7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8EB" w:rsidRPr="00C1411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1411B">
        <w:rPr>
          <w:rFonts w:ascii="Times New Roman" w:hAnsi="Times New Roman"/>
          <w:sz w:val="24"/>
          <w:szCs w:val="24"/>
        </w:rPr>
        <w:t xml:space="preserve">9. </w:t>
      </w:r>
      <w:r w:rsidRPr="001007C7">
        <w:rPr>
          <w:rFonts w:ascii="Times New Roman" w:hAnsi="Times New Roman"/>
          <w:sz w:val="24"/>
          <w:szCs w:val="24"/>
          <w:u w:val="single"/>
        </w:rPr>
        <w:t>Качество выполнения функций и полномочий учредителя муниципальных учреждений</w:t>
      </w:r>
      <w:r w:rsidRPr="00C1411B">
        <w:rPr>
          <w:rFonts w:ascii="Times New Roman" w:hAnsi="Times New Roman"/>
          <w:sz w:val="24"/>
          <w:szCs w:val="24"/>
        </w:rPr>
        <w:t xml:space="preserve"> оценивалось по следующим показателям:</w:t>
      </w:r>
    </w:p>
    <w:p w:rsidR="008158EB" w:rsidRPr="00C1411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1B">
        <w:rPr>
          <w:rFonts w:ascii="Times New Roman" w:hAnsi="Times New Roman"/>
          <w:sz w:val="24"/>
          <w:szCs w:val="24"/>
        </w:rPr>
        <w:tab/>
        <w:t xml:space="preserve">18) Выполнение муниципального задания по натуральным показателям (в разрезе муниципальных услуг (работ)). </w:t>
      </w:r>
    </w:p>
    <w:p w:rsidR="008158EB" w:rsidRPr="00E852A0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2A0">
        <w:rPr>
          <w:rFonts w:ascii="Times New Roman" w:hAnsi="Times New Roman"/>
          <w:sz w:val="24"/>
          <w:szCs w:val="24"/>
        </w:rPr>
        <w:t>Муниципальное задание по натуральным показателям выполнено в полном объеме (100%).</w:t>
      </w:r>
    </w:p>
    <w:p w:rsidR="008158EB" w:rsidRPr="00C1411B" w:rsidRDefault="008158EB" w:rsidP="0081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11B">
        <w:rPr>
          <w:rFonts w:ascii="Times New Roman" w:hAnsi="Times New Roman"/>
          <w:sz w:val="24"/>
          <w:szCs w:val="24"/>
        </w:rPr>
        <w:tab/>
        <w:t xml:space="preserve">19) </w:t>
      </w:r>
      <w:r w:rsidRPr="00C1411B">
        <w:rPr>
          <w:rFonts w:ascii="Times New Roman" w:hAnsi="Times New Roman"/>
          <w:sz w:val="24"/>
          <w:szCs w:val="24"/>
          <w:u w:val="single"/>
        </w:rPr>
        <w:t>Доля неизрасходованных средств субсидии на финансовое обеспечение выполнения муниципального задания</w:t>
      </w:r>
      <w:r w:rsidRPr="00C1411B">
        <w:rPr>
          <w:rFonts w:ascii="Times New Roman" w:hAnsi="Times New Roman"/>
          <w:sz w:val="24"/>
          <w:szCs w:val="24"/>
        </w:rPr>
        <w:t xml:space="preserve"> (бюджетных ассигнований казенного учреждения в соответствии со сметой учреждения и расчетом затрат на финансовое обеспечение выполнения муниципального задания) на конец отчетного периода.</w:t>
      </w:r>
    </w:p>
    <w:p w:rsidR="008158EB" w:rsidRDefault="008158EB" w:rsidP="00C1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1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411B" w:rsidRPr="00C1411B">
        <w:rPr>
          <w:rFonts w:ascii="Times New Roman" w:hAnsi="Times New Roman" w:cs="Times New Roman"/>
          <w:sz w:val="24"/>
          <w:szCs w:val="24"/>
          <w:lang w:eastAsia="ru-RU"/>
        </w:rPr>
        <w:t>Расходы муниципального учреждения</w:t>
      </w:r>
      <w:r w:rsidR="0073766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3766F" w:rsidRPr="0073766F">
        <w:rPr>
          <w:rFonts w:ascii="Times New Roman" w:hAnsi="Times New Roman" w:cs="Times New Roman"/>
          <w:sz w:val="24"/>
          <w:szCs w:val="24"/>
        </w:rPr>
        <w:t xml:space="preserve"> </w:t>
      </w:r>
      <w:r w:rsidR="0073766F" w:rsidRPr="006605C2">
        <w:rPr>
          <w:rFonts w:ascii="Times New Roman" w:hAnsi="Times New Roman" w:cs="Times New Roman"/>
          <w:sz w:val="24"/>
          <w:szCs w:val="24"/>
        </w:rPr>
        <w:t>в отношении которого Администрация исполняет полномочия учредителя</w:t>
      </w:r>
      <w:r w:rsidR="0073766F">
        <w:rPr>
          <w:rFonts w:ascii="Times New Roman" w:hAnsi="Times New Roman" w:cs="Times New Roman"/>
          <w:sz w:val="24"/>
          <w:szCs w:val="24"/>
        </w:rPr>
        <w:t>,</w:t>
      </w:r>
      <w:r w:rsidR="00C1411B" w:rsidRPr="00C1411B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субсидии на выполнение муниципального задания за 2023 год составили </w:t>
      </w:r>
      <w:r w:rsidR="00C1411B">
        <w:rPr>
          <w:rFonts w:ascii="Times New Roman" w:hAnsi="Times New Roman" w:cs="Times New Roman"/>
          <w:sz w:val="24"/>
          <w:szCs w:val="24"/>
          <w:lang w:eastAsia="ru-RU"/>
        </w:rPr>
        <w:t>100,0</w:t>
      </w:r>
      <w:r w:rsidR="00C1411B" w:rsidRPr="00C1411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C1411B">
        <w:rPr>
          <w:rFonts w:ascii="Times New Roman" w:hAnsi="Times New Roman" w:cs="Times New Roman"/>
          <w:sz w:val="24"/>
          <w:szCs w:val="24"/>
          <w:lang w:eastAsia="ru-RU"/>
        </w:rPr>
        <w:t xml:space="preserve"> от утвержденных плановых назначений</w:t>
      </w:r>
      <w:r w:rsidR="00C1411B" w:rsidRPr="00C141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411B" w:rsidRPr="006605C2" w:rsidRDefault="00C1411B" w:rsidP="0073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05C2">
        <w:rPr>
          <w:rFonts w:ascii="Times New Roman" w:hAnsi="Times New Roman" w:cs="Times New Roman"/>
          <w:sz w:val="24"/>
          <w:szCs w:val="24"/>
          <w:lang w:eastAsia="ru-RU"/>
        </w:rPr>
        <w:t>20)</w:t>
      </w:r>
      <w:r w:rsidRPr="006605C2">
        <w:rPr>
          <w:rFonts w:ascii="Times New Roman" w:hAnsi="Times New Roman" w:cs="Times New Roman"/>
          <w:sz w:val="24"/>
          <w:szCs w:val="24"/>
        </w:rPr>
        <w:t xml:space="preserve"> 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</w:r>
      <w:hyperlink r:id="rId6" w:history="1"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605C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605C2">
        <w:rPr>
          <w:rFonts w:ascii="Times New Roman" w:hAnsi="Times New Roman" w:cs="Times New Roman"/>
          <w:sz w:val="24"/>
          <w:szCs w:val="24"/>
        </w:rPr>
        <w:t>.</w:t>
      </w:r>
    </w:p>
    <w:p w:rsidR="00C1411B" w:rsidRPr="00C1411B" w:rsidRDefault="00C1411B" w:rsidP="00C14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C2">
        <w:rPr>
          <w:rFonts w:ascii="Times New Roman" w:hAnsi="Times New Roman" w:cs="Times New Roman"/>
          <w:sz w:val="24"/>
          <w:szCs w:val="24"/>
        </w:rPr>
        <w:t xml:space="preserve">Муниципальным учреждением, в отношении которого Администрация исполняет полномочия учредителя, информация за отчетный </w:t>
      </w:r>
      <w:r w:rsidRPr="00C1411B">
        <w:rPr>
          <w:rFonts w:ascii="Times New Roman" w:hAnsi="Times New Roman" w:cs="Times New Roman"/>
          <w:sz w:val="24"/>
          <w:szCs w:val="24"/>
        </w:rPr>
        <w:t xml:space="preserve">финансовый год размещена в сети Интернет на сайте </w:t>
      </w:r>
      <w:hyperlink r:id="rId7" w:history="1"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bas</w:t>
        </w:r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1411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1411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полном объеме.</w:t>
      </w:r>
    </w:p>
    <w:p w:rsidR="00C1411B" w:rsidRPr="006605C2" w:rsidRDefault="00C1411B" w:rsidP="0066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>Значение рейтинговой оценки ГАБС получается путем суммирования  значений каждого показателя. Максимальное значение составляет 100 баллов.</w:t>
      </w: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>В случае отсутствия возможности проведения оценки ГАБС по отдельному показателю, значение показателя за отчетный период принимается на уровне 5 баллов.</w:t>
      </w: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 xml:space="preserve"> Качество финансового менеджмента ГАБС в зависимости от рейтинговой оценки</w:t>
      </w:r>
      <w:r>
        <w:rPr>
          <w:rFonts w:ascii="Times New Roman" w:hAnsi="Times New Roman"/>
          <w:sz w:val="24"/>
          <w:szCs w:val="24"/>
        </w:rPr>
        <w:t xml:space="preserve"> оценивается</w:t>
      </w:r>
      <w:r w:rsidRPr="006605C2">
        <w:rPr>
          <w:rFonts w:ascii="Times New Roman" w:hAnsi="Times New Roman"/>
          <w:sz w:val="24"/>
          <w:szCs w:val="24"/>
        </w:rPr>
        <w:t>:</w:t>
      </w: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>от 20 до 50 баллов – низкий уровень;</w:t>
      </w: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>от 50 до 80 баллов – средний уровень;</w:t>
      </w: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>от 80 до 95 баллов – уровень выше среднего;</w:t>
      </w:r>
    </w:p>
    <w:p w:rsidR="006605C2" w:rsidRPr="006605C2" w:rsidRDefault="006605C2" w:rsidP="00660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05C2">
        <w:rPr>
          <w:rFonts w:ascii="Times New Roman" w:hAnsi="Times New Roman"/>
          <w:sz w:val="24"/>
          <w:szCs w:val="24"/>
        </w:rPr>
        <w:t>от 95 до 100 баллов – высокий уровень.</w:t>
      </w:r>
    </w:p>
    <w:p w:rsidR="0035311C" w:rsidRPr="00C1411B" w:rsidRDefault="0035311C" w:rsidP="00C141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104" w:rsidRPr="00915104" w:rsidRDefault="00915104" w:rsidP="00C141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0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35311C" w:rsidRDefault="001F3FD5" w:rsidP="00C141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</w:t>
      </w:r>
      <w:r w:rsidR="0073766F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ГАБС общее количество набранных баллов за отчетный период  по показателям</w:t>
      </w:r>
      <w:r w:rsidRPr="001F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87 баллов. Уровень качества финансового менеджмента оценивается как «выше среднего», что соответствует 2 степени качества.</w:t>
      </w:r>
    </w:p>
    <w:p w:rsidR="000408CB" w:rsidRPr="00C1411B" w:rsidRDefault="000408CB" w:rsidP="00C141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ГРБС даны рекомендации о необходимости разработке и необходимости мер по повышению качества финансового менеджмента в тех сферах, в которых качество управления оценено на низком уровне.</w:t>
      </w:r>
    </w:p>
    <w:p w:rsidR="007C10A3" w:rsidRDefault="00470C7C" w:rsidP="00E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364">
        <w:rPr>
          <w:rFonts w:ascii="Times New Roman" w:hAnsi="Times New Roman" w:cs="Times New Roman"/>
          <w:sz w:val="24"/>
          <w:szCs w:val="24"/>
        </w:rPr>
        <w:t>По сравнению с 20</w:t>
      </w:r>
      <w:r w:rsidR="00814743">
        <w:rPr>
          <w:rFonts w:ascii="Times New Roman" w:hAnsi="Times New Roman" w:cs="Times New Roman"/>
          <w:sz w:val="24"/>
          <w:szCs w:val="24"/>
        </w:rPr>
        <w:t>2</w:t>
      </w:r>
      <w:r w:rsidR="001F3FD5">
        <w:rPr>
          <w:rFonts w:ascii="Times New Roman" w:hAnsi="Times New Roman" w:cs="Times New Roman"/>
          <w:sz w:val="24"/>
          <w:szCs w:val="24"/>
        </w:rPr>
        <w:t>2</w:t>
      </w:r>
      <w:r w:rsidR="00582D18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742FD6">
        <w:rPr>
          <w:rFonts w:ascii="Times New Roman" w:hAnsi="Times New Roman" w:cs="Times New Roman"/>
          <w:sz w:val="24"/>
          <w:szCs w:val="24"/>
        </w:rPr>
        <w:t xml:space="preserve"> </w:t>
      </w:r>
      <w:r w:rsidR="00FB5364">
        <w:rPr>
          <w:rFonts w:ascii="Times New Roman" w:hAnsi="Times New Roman" w:cs="Times New Roman"/>
          <w:sz w:val="24"/>
          <w:szCs w:val="24"/>
        </w:rPr>
        <w:t xml:space="preserve">качество финансового менеджмента </w:t>
      </w:r>
      <w:r w:rsidR="001F3FD5">
        <w:rPr>
          <w:rFonts w:ascii="Times New Roman" w:hAnsi="Times New Roman" w:cs="Times New Roman"/>
          <w:sz w:val="24"/>
          <w:szCs w:val="24"/>
        </w:rPr>
        <w:t>повысилось на 3 пункта (за 2022 год 84 балла)</w:t>
      </w:r>
      <w:r w:rsidR="00915104">
        <w:rPr>
          <w:rFonts w:ascii="Times New Roman" w:hAnsi="Times New Roman" w:cs="Times New Roman"/>
          <w:sz w:val="24"/>
          <w:szCs w:val="24"/>
        </w:rPr>
        <w:t>, степень качества сохранилась на прежнем уровне.</w:t>
      </w:r>
    </w:p>
    <w:p w:rsidR="007C10A3" w:rsidRDefault="007C10A3" w:rsidP="004056FA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E474EB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сводной оценки качества за 20</w:t>
      </w:r>
      <w:r w:rsidR="00582D18">
        <w:rPr>
          <w:sz w:val="24"/>
          <w:szCs w:val="24"/>
        </w:rPr>
        <w:t>2</w:t>
      </w:r>
      <w:r w:rsidR="001F3FD5">
        <w:rPr>
          <w:sz w:val="24"/>
          <w:szCs w:val="24"/>
        </w:rPr>
        <w:t>3</w:t>
      </w:r>
      <w:r w:rsidRPr="00E474EB">
        <w:rPr>
          <w:sz w:val="24"/>
          <w:szCs w:val="24"/>
        </w:rPr>
        <w:t xml:space="preserve"> год представлены в приложении 1</w:t>
      </w:r>
      <w:r>
        <w:rPr>
          <w:sz w:val="24"/>
          <w:szCs w:val="24"/>
        </w:rPr>
        <w:t>.</w:t>
      </w:r>
    </w:p>
    <w:p w:rsidR="00D35945" w:rsidRDefault="00D35945" w:rsidP="00D359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945" w:rsidRDefault="00D35945" w:rsidP="00D359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742FD6" w:rsidP="001F3F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1F3F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А.Е.Шилов</w:t>
      </w:r>
    </w:p>
    <w:p w:rsidR="00D35945" w:rsidRDefault="00D35945" w:rsidP="00D359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F5A" w:rsidRDefault="00146F5A" w:rsidP="00D359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6F5A" w:rsidRDefault="00146F5A" w:rsidP="00D359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3FD5" w:rsidRDefault="001F3FD5" w:rsidP="00D359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1F3FD5" w:rsidRDefault="001F3FD5" w:rsidP="00D359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3FD5" w:rsidRDefault="001F3FD5" w:rsidP="00D359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35945" w:rsidRPr="00D35945" w:rsidRDefault="00742FD6" w:rsidP="00D3594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Агафонова</w:t>
      </w:r>
    </w:p>
    <w:p w:rsidR="00D35945" w:rsidRPr="00E474EB" w:rsidRDefault="00D35945" w:rsidP="00F66F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945">
        <w:rPr>
          <w:rFonts w:ascii="Times New Roman" w:hAnsi="Times New Roman" w:cs="Times New Roman"/>
          <w:sz w:val="20"/>
          <w:szCs w:val="20"/>
        </w:rPr>
        <w:t>тел. (81365)</w:t>
      </w:r>
      <w:r w:rsidR="00742FD6">
        <w:rPr>
          <w:rFonts w:ascii="Times New Roman" w:hAnsi="Times New Roman" w:cs="Times New Roman"/>
          <w:sz w:val="20"/>
          <w:szCs w:val="20"/>
        </w:rPr>
        <w:t>73200</w:t>
      </w:r>
    </w:p>
    <w:sectPr w:rsidR="00D35945" w:rsidRPr="00E474EB" w:rsidSect="00D35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7D"/>
    <w:rsid w:val="00025B63"/>
    <w:rsid w:val="000408CB"/>
    <w:rsid w:val="0004793C"/>
    <w:rsid w:val="00053751"/>
    <w:rsid w:val="0005734F"/>
    <w:rsid w:val="000709CC"/>
    <w:rsid w:val="000754FD"/>
    <w:rsid w:val="00076A3C"/>
    <w:rsid w:val="00081088"/>
    <w:rsid w:val="0008403F"/>
    <w:rsid w:val="00096069"/>
    <w:rsid w:val="000A5C39"/>
    <w:rsid w:val="000A5F5C"/>
    <w:rsid w:val="000B661C"/>
    <w:rsid w:val="000C0A85"/>
    <w:rsid w:val="000C3CD9"/>
    <w:rsid w:val="000C7FB2"/>
    <w:rsid w:val="000D536B"/>
    <w:rsid w:val="000E3E59"/>
    <w:rsid w:val="001007C7"/>
    <w:rsid w:val="0011550C"/>
    <w:rsid w:val="00124FEF"/>
    <w:rsid w:val="00146F5A"/>
    <w:rsid w:val="0015048D"/>
    <w:rsid w:val="00161DF0"/>
    <w:rsid w:val="00171C6C"/>
    <w:rsid w:val="00176CED"/>
    <w:rsid w:val="00182963"/>
    <w:rsid w:val="001A670E"/>
    <w:rsid w:val="001B521D"/>
    <w:rsid w:val="001D62C2"/>
    <w:rsid w:val="001F024B"/>
    <w:rsid w:val="001F3FD5"/>
    <w:rsid w:val="001F6506"/>
    <w:rsid w:val="00217127"/>
    <w:rsid w:val="00252C75"/>
    <w:rsid w:val="00257935"/>
    <w:rsid w:val="002714B9"/>
    <w:rsid w:val="00276262"/>
    <w:rsid w:val="002C4781"/>
    <w:rsid w:val="002D435E"/>
    <w:rsid w:val="002E3F93"/>
    <w:rsid w:val="002F0C03"/>
    <w:rsid w:val="00306211"/>
    <w:rsid w:val="00316406"/>
    <w:rsid w:val="00325F14"/>
    <w:rsid w:val="00341D70"/>
    <w:rsid w:val="0034724E"/>
    <w:rsid w:val="003516D0"/>
    <w:rsid w:val="0035311C"/>
    <w:rsid w:val="00380803"/>
    <w:rsid w:val="003848C8"/>
    <w:rsid w:val="003A2E21"/>
    <w:rsid w:val="003B0C7D"/>
    <w:rsid w:val="003B5C6F"/>
    <w:rsid w:val="003B6B3E"/>
    <w:rsid w:val="003C4E2E"/>
    <w:rsid w:val="003E21CE"/>
    <w:rsid w:val="0040200E"/>
    <w:rsid w:val="004056FA"/>
    <w:rsid w:val="004077EF"/>
    <w:rsid w:val="00421911"/>
    <w:rsid w:val="00443722"/>
    <w:rsid w:val="00470C7C"/>
    <w:rsid w:val="00470E79"/>
    <w:rsid w:val="00494834"/>
    <w:rsid w:val="004A487D"/>
    <w:rsid w:val="004A576B"/>
    <w:rsid w:val="004B111E"/>
    <w:rsid w:val="004E351E"/>
    <w:rsid w:val="004E656C"/>
    <w:rsid w:val="0051673E"/>
    <w:rsid w:val="005323F9"/>
    <w:rsid w:val="005505A0"/>
    <w:rsid w:val="00565289"/>
    <w:rsid w:val="00566E38"/>
    <w:rsid w:val="00570D7A"/>
    <w:rsid w:val="0057484D"/>
    <w:rsid w:val="00581366"/>
    <w:rsid w:val="00582D18"/>
    <w:rsid w:val="005B14AA"/>
    <w:rsid w:val="005B76A6"/>
    <w:rsid w:val="005E24C8"/>
    <w:rsid w:val="0060702F"/>
    <w:rsid w:val="00607A7B"/>
    <w:rsid w:val="00617C21"/>
    <w:rsid w:val="00622F9A"/>
    <w:rsid w:val="00624B01"/>
    <w:rsid w:val="006501D0"/>
    <w:rsid w:val="00655CDA"/>
    <w:rsid w:val="006605C2"/>
    <w:rsid w:val="006C6F10"/>
    <w:rsid w:val="006D301C"/>
    <w:rsid w:val="00703AA1"/>
    <w:rsid w:val="0073766F"/>
    <w:rsid w:val="00742FD6"/>
    <w:rsid w:val="00752E86"/>
    <w:rsid w:val="00776205"/>
    <w:rsid w:val="007C10A3"/>
    <w:rsid w:val="007D60D0"/>
    <w:rsid w:val="008138F8"/>
    <w:rsid w:val="00814743"/>
    <w:rsid w:val="008158EB"/>
    <w:rsid w:val="00835367"/>
    <w:rsid w:val="0085664C"/>
    <w:rsid w:val="0085711C"/>
    <w:rsid w:val="00862957"/>
    <w:rsid w:val="008715A8"/>
    <w:rsid w:val="008770D2"/>
    <w:rsid w:val="008833D7"/>
    <w:rsid w:val="0088524B"/>
    <w:rsid w:val="008A0674"/>
    <w:rsid w:val="008B0A35"/>
    <w:rsid w:val="008C0D65"/>
    <w:rsid w:val="008C6899"/>
    <w:rsid w:val="008F1D6A"/>
    <w:rsid w:val="0090397D"/>
    <w:rsid w:val="00915104"/>
    <w:rsid w:val="00922786"/>
    <w:rsid w:val="009264B1"/>
    <w:rsid w:val="009930D2"/>
    <w:rsid w:val="009C47D2"/>
    <w:rsid w:val="009C556E"/>
    <w:rsid w:val="009C5E59"/>
    <w:rsid w:val="009D53D3"/>
    <w:rsid w:val="009E3DFE"/>
    <w:rsid w:val="009F694E"/>
    <w:rsid w:val="00A36436"/>
    <w:rsid w:val="00A70215"/>
    <w:rsid w:val="00A9136E"/>
    <w:rsid w:val="00A923A3"/>
    <w:rsid w:val="00AF1110"/>
    <w:rsid w:val="00B7014E"/>
    <w:rsid w:val="00B92DC4"/>
    <w:rsid w:val="00C1411B"/>
    <w:rsid w:val="00C20D5C"/>
    <w:rsid w:val="00C25794"/>
    <w:rsid w:val="00C41D7D"/>
    <w:rsid w:val="00C60E51"/>
    <w:rsid w:val="00C613DE"/>
    <w:rsid w:val="00C8268D"/>
    <w:rsid w:val="00CA2DD4"/>
    <w:rsid w:val="00CB2C3C"/>
    <w:rsid w:val="00CC5648"/>
    <w:rsid w:val="00CD1575"/>
    <w:rsid w:val="00CD2959"/>
    <w:rsid w:val="00CE1F7E"/>
    <w:rsid w:val="00CE4E55"/>
    <w:rsid w:val="00D0125C"/>
    <w:rsid w:val="00D16354"/>
    <w:rsid w:val="00D275C0"/>
    <w:rsid w:val="00D30E52"/>
    <w:rsid w:val="00D35945"/>
    <w:rsid w:val="00D44A32"/>
    <w:rsid w:val="00D7493F"/>
    <w:rsid w:val="00D934CE"/>
    <w:rsid w:val="00DA1716"/>
    <w:rsid w:val="00DC56A0"/>
    <w:rsid w:val="00DC614E"/>
    <w:rsid w:val="00DD5622"/>
    <w:rsid w:val="00DD5B34"/>
    <w:rsid w:val="00DE6DA6"/>
    <w:rsid w:val="00E1347F"/>
    <w:rsid w:val="00E16BBC"/>
    <w:rsid w:val="00E326F7"/>
    <w:rsid w:val="00E4402A"/>
    <w:rsid w:val="00E474EB"/>
    <w:rsid w:val="00E51C8E"/>
    <w:rsid w:val="00E71DC3"/>
    <w:rsid w:val="00E852A0"/>
    <w:rsid w:val="00E91F50"/>
    <w:rsid w:val="00EB31D0"/>
    <w:rsid w:val="00ED601B"/>
    <w:rsid w:val="00F00CF0"/>
    <w:rsid w:val="00F2038A"/>
    <w:rsid w:val="00F411A1"/>
    <w:rsid w:val="00F540BD"/>
    <w:rsid w:val="00F66FDC"/>
    <w:rsid w:val="00FB5364"/>
    <w:rsid w:val="00FD044D"/>
    <w:rsid w:val="00FE48EC"/>
    <w:rsid w:val="00F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110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3"/>
    <w:link w:val="10"/>
    <w:qFormat/>
    <w:rsid w:val="00081088"/>
    <w:pPr>
      <w:numPr>
        <w:numId w:val="5"/>
      </w:numPr>
      <w:tabs>
        <w:tab w:val="left" w:pos="851"/>
      </w:tabs>
      <w:spacing w:after="0"/>
      <w:ind w:left="0"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81088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9C5E59"/>
    <w:rPr>
      <w:color w:val="0000FF" w:themeColor="hyperlink"/>
      <w:u w:val="single"/>
    </w:rPr>
  </w:style>
  <w:style w:type="paragraph" w:customStyle="1" w:styleId="ConsPlusNormal">
    <w:name w:val="ConsPlusNormal"/>
    <w:rsid w:val="004E6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a">
    <w:name w:val="Прижатый влево"/>
    <w:basedOn w:val="a"/>
    <w:next w:val="a"/>
    <w:uiPriority w:val="99"/>
    <w:unhideWhenUsed/>
    <w:rsid w:val="00353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E3E5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E3E59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110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3"/>
    <w:link w:val="10"/>
    <w:qFormat/>
    <w:rsid w:val="00081088"/>
    <w:pPr>
      <w:numPr>
        <w:numId w:val="5"/>
      </w:numPr>
      <w:tabs>
        <w:tab w:val="left" w:pos="851"/>
      </w:tabs>
      <w:spacing w:after="0"/>
      <w:ind w:left="0"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81088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9C5E59"/>
    <w:rPr>
      <w:color w:val="0000FF" w:themeColor="hyperlink"/>
      <w:u w:val="single"/>
    </w:rPr>
  </w:style>
  <w:style w:type="paragraph" w:customStyle="1" w:styleId="ConsPlusNormal">
    <w:name w:val="ConsPlusNormal"/>
    <w:rsid w:val="004E6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a">
    <w:name w:val="Прижатый влево"/>
    <w:basedOn w:val="a"/>
    <w:next w:val="a"/>
    <w:uiPriority w:val="99"/>
    <w:unhideWhenUsed/>
    <w:rsid w:val="00353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E3E5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E3E59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2B5F-6FB8-4015-92A6-539F7A2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gbuh</cp:lastModifiedBy>
  <cp:revision>6</cp:revision>
  <cp:lastPrinted>2024-05-03T08:30:00Z</cp:lastPrinted>
  <dcterms:created xsi:type="dcterms:W3CDTF">2024-05-03T08:33:00Z</dcterms:created>
  <dcterms:modified xsi:type="dcterms:W3CDTF">2024-05-08T11:27:00Z</dcterms:modified>
</cp:coreProperties>
</file>